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Strafanzeige § 240 StGB — Strategische Bewertung</w:t>
      </w:r>
    </w:p>
    <w:p>
      <w:pPr>
        <w:jc w:val="left"/>
      </w:pPr>
      <w:r>
        <w:t>Soll RA Dr. Kröll wegen möglicher Nötigung Strafanzeige erstatten oder nicht?</w:t>
      </w:r>
    </w:p>
    <w:p/>
    <w:p>
      <w:pPr>
        <w:pStyle w:val="Heading2"/>
      </w:pPr>
      <w:r>
        <w:rPr>
          <w:rFonts w:ascii="Times New Roman" w:hAnsi="Times New Roman"/>
        </w:rPr>
        <w:t>Ausgangspunkt</w:t>
      </w:r>
    </w:p>
    <w:p>
      <w:pPr>
        <w:jc w:val="left"/>
      </w:pPr>
      <w:r>
        <w:t>Die Formulierung „Wenn Sie nicht zahlen, ziehen wir die Insolvenz durch" in der E-Mail vom 14.02.2026 enthält nach der Analyse in Aktenstück 09 ein strafrechtliches Risiko im Sinne von § 240 StGB — und zwar für RA Dr. Kröll selbst als möglicher Täter. RA Quistorf-Schwertmann hat bisher keine Strafanzeige erstattet.</w:t>
      </w:r>
    </w:p>
    <w:p>
      <w:pPr>
        <w:jc w:val="left"/>
      </w:pPr>
      <w:r>
        <w:t>Die strategische Frage, die sich der Kanzlei jetzt stellt, ist eine andere: Hat die Erbengemeinschaft Aufhauser-Trenkler ihrerseits Anlass, wegen des Verhaltens der Gegenseite eine Strafanzeige zu erstatten — etwa wegen Nötigung (§ 240 StGB) oder Erpressung (§ 253 StGB) durch die anhaltende Verweigerung von Jahresabschlüssen und die mögliche Drucktaktik der Gegenseite?</w:t>
      </w:r>
    </w:p>
    <w:p/>
    <w:p>
      <w:pPr>
        <w:pStyle w:val="Heading2"/>
      </w:pPr>
      <w:r>
        <w:rPr>
          <w:rFonts w:ascii="Times New Roman" w:hAnsi="Times New Roman"/>
        </w:rPr>
        <w:t>Handlungen der Gegenseite im Überblick</w:t>
      </w:r>
    </w:p>
    <w:p>
      <w:pPr>
        <w:pStyle w:val="Heading3"/>
      </w:pPr>
      <w:r>
        <w:rPr>
          <w:rFonts w:ascii="Times New Roman" w:hAnsi="Times New Roman"/>
        </w:rPr>
        <w:t>1. Verweigerung der Informationsrechte (§ 166 HGB)</w:t>
      </w:r>
    </w:p>
    <w:p>
      <w:pPr>
        <w:jc w:val="left"/>
      </w:pPr>
      <w:r>
        <w:t>RA Quistorf-Schwertmann hat im Namen seiner Mandanten die Herausgabe der Jahresabschlüsse 2022 und 2023 über 18 Monate verweigert. Dies ist primär eine zivilrechtliche Frage, die durch eine Informationserzwingungsklage zu lösen ist. Eine Strafbarkeit nach § 240 StGB durch bloße Nichterfüllung einer zivilrechtlichen Pflicht scheidet in der Regel aus.</w:t>
      </w:r>
    </w:p>
    <w:p>
      <w:pPr>
        <w:pStyle w:val="Heading3"/>
      </w:pPr>
      <w:r>
        <w:rPr>
          <w:rFonts w:ascii="Times New Roman" w:hAnsi="Times New Roman"/>
        </w:rPr>
        <w:t>2. Einsatz der Verzögerungstaktik als Druckmittel</w:t>
      </w:r>
    </w:p>
    <w:p>
      <w:pPr>
        <w:jc w:val="left"/>
      </w:pPr>
      <w:r>
        <w:t>Die Verzögerung könnte als Nötigungsmittel qualifiziert werden, wenn sie gezielt eingesetzt wird, um die Erbengemeinschaft zu einer ungünstigen Einigung zu zwingen. Dies wäre ein klassischer Fall des sogenannten „prozessualen Drucks." Strafrechtlich ist dies schwer zu fassen, da legitime Prozessführung und rechtswidrige Nötigung eng beieinanderliegen.</w:t>
      </w:r>
    </w:p>
    <w:p/>
    <w:p>
      <w:pPr>
        <w:pStyle w:val="Heading2"/>
      </w:pPr>
      <w:r>
        <w:rPr>
          <w:rFonts w:ascii="Times New Roman" w:hAnsi="Times New Roman"/>
        </w:rPr>
        <w:t>Bewertung der Erfolgsaussichten einer Strafanzeige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Aspekt</w:t>
            </w:r>
          </w:p>
        </w:tc>
        <w:tc>
          <w:tcPr>
            <w:tcW w:type="dxa" w:w="4536"/>
          </w:tcPr>
          <w:p>
            <w:r>
              <w:rPr>
                <w:rFonts w:ascii="Times New Roman" w:hAnsi="Times New Roman"/>
                <w:b/>
                <w:sz w:val="20"/>
              </w:rPr>
              <w:t>Einschätzung</w:t>
            </w:r>
          </w:p>
        </w:tc>
      </w:tr>
      <w:tr>
        <w:tc>
          <w:tcPr>
            <w:tcW w:type="dxa" w:w="4536"/>
          </w:tcPr>
          <w:p>
            <w:r>
              <w:rPr>
                <w:rFonts w:ascii="Times New Roman" w:hAnsi="Times New Roman"/>
                <w:sz w:val="20"/>
              </w:rPr>
              <w:t>Tatsächliche Strafbarkeit der Gegenseite nach § 240 StGB</w:t>
            </w:r>
          </w:p>
        </w:tc>
        <w:tc>
          <w:tcPr>
            <w:tcW w:type="dxa" w:w="4536"/>
          </w:tcPr>
          <w:p>
            <w:r>
              <w:rPr>
                <w:rFonts w:ascii="Times New Roman" w:hAnsi="Times New Roman"/>
                <w:sz w:val="20"/>
              </w:rPr>
              <w:t>Gering — Verfahrensverzögerung als solche kein Nötigungsmittel</w:t>
            </w:r>
          </w:p>
        </w:tc>
      </w:tr>
      <w:tr>
        <w:tc>
          <w:tcPr>
            <w:tcW w:type="dxa" w:w="4536"/>
          </w:tcPr>
          <w:p>
            <w:r>
              <w:rPr>
                <w:rFonts w:ascii="Times New Roman" w:hAnsi="Times New Roman"/>
                <w:sz w:val="20"/>
              </w:rPr>
              <w:t>Beweislage für gezielte Einschüchterungsabsicht</w:t>
            </w:r>
          </w:p>
        </w:tc>
        <w:tc>
          <w:tcPr>
            <w:tcW w:type="dxa" w:w="4536"/>
          </w:tcPr>
          <w:p>
            <w:r>
              <w:rPr>
                <w:rFonts w:ascii="Times New Roman" w:hAnsi="Times New Roman"/>
                <w:sz w:val="20"/>
              </w:rPr>
              <w:t>Sehr schwach — keine direkten Belege</w:t>
            </w:r>
          </w:p>
        </w:tc>
      </w:tr>
      <w:tr>
        <w:tc>
          <w:tcPr>
            <w:tcW w:type="dxa" w:w="4536"/>
          </w:tcPr>
          <w:p>
            <w:r>
              <w:rPr>
                <w:rFonts w:ascii="Times New Roman" w:hAnsi="Times New Roman"/>
                <w:sz w:val="20"/>
              </w:rPr>
              <w:t>Prozesstaktischer Wert der Anzeige</w:t>
            </w:r>
          </w:p>
        </w:tc>
        <w:tc>
          <w:tcPr>
            <w:tcW w:type="dxa" w:w="4536"/>
          </w:tcPr>
          <w:p>
            <w:r>
              <w:rPr>
                <w:rFonts w:ascii="Times New Roman" w:hAnsi="Times New Roman"/>
                <w:sz w:val="20"/>
              </w:rPr>
              <w:t>Mittel — erzeugt Druck auf Gegenseite, kostet aber Ressourcen</w:t>
            </w:r>
          </w:p>
        </w:tc>
      </w:tr>
      <w:tr>
        <w:tc>
          <w:tcPr>
            <w:tcW w:type="dxa" w:w="4536"/>
          </w:tcPr>
          <w:p>
            <w:r>
              <w:rPr>
                <w:rFonts w:ascii="Times New Roman" w:hAnsi="Times New Roman"/>
                <w:sz w:val="20"/>
              </w:rPr>
              <w:t>Risiko des Boomerang-Effekts</w:t>
            </w:r>
          </w:p>
        </w:tc>
        <w:tc>
          <w:tcPr>
            <w:tcW w:type="dxa" w:w="4536"/>
          </w:tcPr>
          <w:p>
            <w:r>
              <w:rPr>
                <w:rFonts w:ascii="Times New Roman" w:hAnsi="Times New Roman"/>
                <w:sz w:val="20"/>
              </w:rPr>
              <w:t>Hoch — Gegenseite könnte ihrerseits auf § 240 StGB hinweisen (E-Mail Kröll)</w:t>
            </w:r>
          </w:p>
        </w:tc>
      </w:tr>
      <w:tr>
        <w:tc>
          <w:tcPr>
            <w:tcW w:type="dxa" w:w="4536"/>
          </w:tcPr>
          <w:p>
            <w:r>
              <w:rPr>
                <w:rFonts w:ascii="Times New Roman" w:hAnsi="Times New Roman"/>
                <w:sz w:val="20"/>
              </w:rPr>
              <w:t>Schaden für das Verhandlungsklima</w:t>
            </w:r>
          </w:p>
        </w:tc>
        <w:tc>
          <w:tcPr>
            <w:tcW w:type="dxa" w:w="4536"/>
          </w:tcPr>
          <w:p>
            <w:r>
              <w:rPr>
                <w:rFonts w:ascii="Times New Roman" w:hAnsi="Times New Roman"/>
                <w:sz w:val="20"/>
              </w:rPr>
              <w:t>Erheblich — Strafanzeige gegen den gegnerischen Anwalt zerstört Gesprächsbasis</w:t>
            </w:r>
          </w:p>
        </w:tc>
      </w:tr>
    </w:tbl>
    <w:p/>
    <w:p>
      <w:pPr>
        <w:pStyle w:val="Heading2"/>
      </w:pPr>
      <w:r>
        <w:rPr>
          <w:rFonts w:ascii="Times New Roman" w:hAnsi="Times New Roman"/>
        </w:rPr>
        <w:t>Empfehlung: Keine Strafanzeige</w:t>
      </w:r>
    </w:p>
    <w:p>
      <w:pPr>
        <w:jc w:val="left"/>
      </w:pPr>
      <w:r>
        <w:t xml:space="preserve">Die strategische Empfehlung der Kanzlei ist, </w:t>
      </w:r>
      <w:r>
        <w:rPr>
          <w:b/>
        </w:rPr>
        <w:t>keine Strafanzeige</w:t>
      </w:r>
      <w:r>
        <w:t xml:space="preserve"> gegen RA Quistorf-Schwertmann oder seine Mandanten zu erstatten:</w:t>
      </w:r>
    </w:p>
    <w:p>
      <w:pPr>
        <w:pStyle w:val="ListNumber"/>
      </w:pPr>
      <w:r>
        <w:t>Die Erfolgschancen sind gering — ein Ermittlungsverfahren würde wahrscheinlich eingestellt.</w:t>
      </w:r>
    </w:p>
    <w:p>
      <w:pPr>
        <w:pStyle w:val="ListNumber"/>
      </w:pPr>
      <w:r>
        <w:t>Der Boomerang-Effekt ist real: RA Quistorf-Schwertmann könnte die E-Mail vom 14.02.2026 als Grundlage für eine Gegenanzeige nutzen.</w:t>
      </w:r>
    </w:p>
    <w:p>
      <w:pPr>
        <w:pStyle w:val="ListNumber"/>
      </w:pPr>
      <w:r>
        <w:t>Das Verhandlungsklima ist durch die bisherigen Eskalationen ohnehin beschädigt; eine Strafanzeige würde jeden Ausweg verbentlich versperren.</w:t>
      </w:r>
    </w:p>
    <w:p>
      <w:pPr>
        <w:pStyle w:val="ListNumber"/>
      </w:pPr>
      <w:r>
        <w:t>Zivilrechtliche Mittel (Informationserzwingungsklage, Schadensersatz nach § 280 BGB) sind das effizientere Instrument.</w:t>
      </w:r>
    </w:p>
    <w:p/>
    <w:p>
      <w:pPr>
        <w:pStyle w:val="Heading2"/>
      </w:pPr>
      <w:r>
        <w:rPr>
          <w:rFonts w:ascii="Times New Roman" w:hAnsi="Times New Roman"/>
        </w:rPr>
        <w:t>Alternativer Weg: Zivilrechtlicher Druck</w:t>
      </w:r>
    </w:p>
    <w:p>
      <w:pPr>
        <w:jc w:val="left"/>
      </w:pPr>
      <w:r>
        <w:t>Statt der Strafanzeige empfiehlt die Kanzlei:</w:t>
      </w:r>
    </w:p>
    <w:p>
      <w:pPr>
        <w:pStyle w:val="ListNumber"/>
      </w:pPr>
      <w:r>
        <w:t>Umgehende Einreichung der Informationserzwingungsklage beim LG Frankfurt (§ 166 HGB, § 51a GmbHG analog)</w:t>
      </w:r>
    </w:p>
    <w:p>
      <w:pPr>
        <w:pStyle w:val="ListNumber"/>
      </w:pPr>
      <w:r>
        <w:t>Antrag auf einstweilige Verfügung zur Sicherung der Jahresabschlüsse</w:t>
      </w:r>
    </w:p>
    <w:p>
      <w:pPr>
        <w:pStyle w:val="ListNumber"/>
      </w:pPr>
      <w:r>
        <w:t>Geltendmachung von Schadensersatz für den 18-monatigen Verzug (entgangene Abfindungsverhandlung)</w:t>
      </w:r>
    </w:p>
    <w:p>
      <w:pPr>
        <w:pStyle w:val="ListNumber"/>
      </w:pPr>
      <w:r>
        <w:t>Information an die RAK Frankfurt über das Verhalten von RA Quistorf-Schwertmann als Gegenbeschwerde zur Beschwerde Trenklers</w:t>
      </w:r>
    </w:p>
    <w:p/>
    <w:p>
      <w:pPr>
        <w:pStyle w:val="Heading2"/>
      </w:pPr>
      <w:r>
        <w:rPr>
          <w:rFonts w:ascii="Times New Roman" w:hAnsi="Times New Roman"/>
        </w:rPr>
        <w:t>Quellen</w:t>
      </w:r>
    </w:p>
    <w:p>
      <w:pPr>
        <w:pStyle w:val="ListBullet"/>
      </w:pPr>
      <w:r>
        <w:t>§ 240 StGB — dejure.org</w:t>
      </w:r>
    </w:p>
    <w:p>
      <w:pPr>
        <w:pStyle w:val="ListBullet"/>
      </w:pPr>
      <w:r>
        <w:t>§ 253 StGB — dejure.org</w:t>
      </w:r>
    </w:p>
    <w:p>
      <w:pPr>
        <w:pStyle w:val="ListBullet"/>
      </w:pPr>
      <w:r>
        <w:t>§ 166 HGB — dejure.org</w:t>
      </w:r>
    </w:p>
    <w:p>
      <w:pPr>
        <w:pStyle w:val="ListBullet"/>
      </w:pPr>
      <w:r>
        <w:t>§ 280 BGB — dejure.org</w:t>
      </w:r>
    </w:p>
    <w:p/>
    <w:p>
      <w:pPr>
        <w:jc w:val="left"/>
      </w:pPr>
      <w:r>
        <w:t>Bearbeitungsstand: 22.04.2026 — RA Dr. Volkard Kröll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