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Versicherungsschutz — Berufshaftpflichtversicherung</w:t>
      </w:r>
    </w:p>
    <w:p>
      <w:pPr>
        <w:jc w:val="left"/>
      </w:pPr>
      <w:r>
        <w:t>Deckungsrelevanz der berufsrechtlichen Vorfälle und DSGVO-Panne</w:t>
      </w:r>
    </w:p>
    <w:p/>
    <w:p>
      <w:pPr>
        <w:pStyle w:val="Heading2"/>
      </w:pPr>
      <w:r>
        <w:rPr>
          <w:rFonts w:ascii="Times New Roman" w:hAnsi="Times New Roman"/>
        </w:rPr>
        <w:t>Gesetzliche Grundlage</w:t>
      </w:r>
    </w:p>
    <w:p>
      <w:pPr>
        <w:jc w:val="left"/>
      </w:pPr>
      <w:r>
        <w:t>§ 51 BRAO verpflichtet jeden Rechtsanwalt zum Abschluss und zur Aufrechterhaltung einer Berufshaftpflichtversicherung:</w:t>
      </w:r>
    </w:p>
    <w:p>
      <w:pPr>
        <w:ind w:left="567"/>
      </w:pPr>
      <w:r>
        <w:rPr>
          <w:i/>
        </w:rPr>
        <w:t>Der Rechtsanwalt ist verpflichtet, eine Berufshaftpflichtversicherung zur Deckung der sich aus seiner Berufstätigkeit ergebenden Haftpflichtgefahren für Vermögensschäden abzuschließen und die Versicherung während der Dauer seiner Zulassung aufrechtzuerhalten. Die Mindestversicherungssumme beträgt 250.000 Euro für jeden Versicherungsfall.</w:t>
      </w:r>
    </w:p>
    <w:p>
      <w:pPr>
        <w:jc w:val="left"/>
      </w:pPr>
      <w:r>
        <w:t>Quelle: dejure.org — § 51 BRAO</w:t>
      </w:r>
    </w:p>
    <w:p/>
    <w:p>
      <w:pPr>
        <w:pStyle w:val="Heading2"/>
      </w:pPr>
      <w:r>
        <w:rPr>
          <w:rFonts w:ascii="Times New Roman" w:hAnsi="Times New Roman"/>
        </w:rPr>
        <w:t>Versicherungsschutz der Kanzlei Rosenmühle &amp; Partner</w:t>
      </w:r>
    </w:p>
    <w:p>
      <w:pPr>
        <w:pStyle w:val="Heading3"/>
      </w:pPr>
      <w:r>
        <w:rPr>
          <w:rFonts w:ascii="Times New Roman" w:hAnsi="Times New Roman"/>
        </w:rPr>
        <w:t>Police</w:t>
      </w:r>
    </w:p>
    <w:p>
      <w:pPr>
        <w:jc w:val="left"/>
      </w:pPr>
      <w:r>
        <w:t>Die Kanzlei Rosenmühle &amp; Partner unterhält eine Berufshaftpflichtversicherung bei der Allianz AG (Versicherungsscheinnummer: BHP-RAK-2019-7283). Versicherungssumme: 3 Millionen Euro je Schadensfall, 6 Millionen Euro gesamt pro Jahr.</w:t>
      </w:r>
    </w:p>
    <w:p>
      <w:pPr>
        <w:pStyle w:val="Heading3"/>
      </w:pPr>
      <w:r>
        <w:rPr>
          <w:rFonts w:ascii="Times New Roman" w:hAnsi="Times New Roman"/>
        </w:rPr>
        <w:t>Mitversicherte Personen</w:t>
      </w:r>
    </w:p>
    <w:p>
      <w:pPr>
        <w:jc w:val="left"/>
      </w:pPr>
      <w:r>
        <w:t>Mitversichert sind alle Partner und angestellten Rechtsanwälte der Kanzlei, einschließlich RAin Tannenkamp.</w:t>
      </w:r>
    </w:p>
    <w:p/>
    <w:p>
      <w:pPr>
        <w:pStyle w:val="Heading2"/>
      </w:pPr>
      <w:r>
        <w:rPr>
          <w:rFonts w:ascii="Times New Roman" w:hAnsi="Times New Roman"/>
        </w:rPr>
        <w:t>Deckungsrelevanz der Einzelvorfälle</w:t>
      </w:r>
    </w:p>
    <w:p>
      <w:pPr>
        <w:pStyle w:val="Heading3"/>
      </w:pPr>
      <w:r>
        <w:rPr>
          <w:rFonts w:ascii="Times New Roman" w:hAnsi="Times New Roman"/>
        </w:rPr>
        <w:t>Vorfall 1: E-Mail Kröll vom 14.02.2026</w:t>
      </w:r>
    </w:p>
    <w:p>
      <w:pPr>
        <w:jc w:val="left"/>
      </w:pPr>
      <w:r>
        <w:rPr>
          <w:b/>
        </w:rPr>
        <w:t>Deckungsfrage:</w:t>
      </w:r>
      <w:r>
        <w:t xml:space="preserve"> Deckt die Berufshaftpflicht Schadensersatzansprüche, die aus der sachlichkeitswidrigen E-Mail entstehen?</w:t>
      </w:r>
    </w:p>
    <w:p>
      <w:pPr>
        <w:jc w:val="left"/>
      </w:pPr>
      <w:r>
        <w:rPr>
          <w:b/>
        </w:rPr>
        <w:t>Bewertung:</w:t>
      </w:r>
      <w:r>
        <w:t xml:space="preserve"> Die Berufshaftpflichtversicherung deckt typischerweise Vermögensschäden, die Dritten durch fehlerhafte anwaltliche Tätigkeit entstehen. Ein Anspruch von RA Quistorf-Schwertmann wegen der beleidigenden E-Mail wäre ein Persönlichkeitsrechtsschaden, der in vielen Polizzen unter Ausschluss fällt. </w:t>
      </w:r>
      <w:r>
        <w:rPr>
          <w:b/>
        </w:rPr>
        <w:t>Deckung: fraglich; Prüfung der Police empfohlen.</w:t>
      </w:r>
    </w:p>
    <w:p>
      <w:pPr>
        <w:jc w:val="left"/>
      </w:pPr>
      <w:r>
        <w:rPr>
          <w:b/>
        </w:rPr>
        <w:t>Deckungsausschlüsse zu prüfen:</w:t>
      </w:r>
      <w:r>
        <w:t xml:space="preserve"> Vorsätzliche Schädigung; vorsätzliche Pflichtverletzung. RA Dr. Kröll hat vorsätzlich die E-Mail verfasst, wenn auch möglicherweise im emotionalen Ausnahmezustand. Das Bewusstsein des Pflichtverstoßes kann bei Nachtversand unter emotionalem Druck eingeschränkt sein — hier ist der Einzelfall zu bewerten.</w:t>
      </w:r>
    </w:p>
    <w:p>
      <w:pPr>
        <w:pStyle w:val="Heading3"/>
      </w:pPr>
      <w:r>
        <w:rPr>
          <w:rFonts w:ascii="Times New Roman" w:hAnsi="Times New Roman"/>
        </w:rPr>
        <w:t>Vorfall 2: DSGVO-Panne vom 08.03.2026</w:t>
      </w:r>
    </w:p>
    <w:p>
      <w:pPr>
        <w:jc w:val="left"/>
      </w:pPr>
      <w:r>
        <w:rPr>
          <w:b/>
        </w:rPr>
        <w:t>Deckungsfrage:</w:t>
      </w:r>
      <w:r>
        <w:t xml:space="preserve"> Deckt die Berufshaftpflicht einen Schadensersatzanspruch von RAin Tannenkamp nach Art. 82 DSGVO?</w:t>
      </w:r>
    </w:p>
    <w:p>
      <w:pPr>
        <w:jc w:val="left"/>
      </w:pPr>
      <w:r>
        <w:rPr>
          <w:b/>
        </w:rPr>
        <w:t>Bewertung:</w:t>
      </w:r>
      <w:r>
        <w:t xml:space="preserve"> RAin Tannenkamp ist selbst Versicherungsnehmerin, weshalb ein Anspruch gegen die Kanzlei (als ihren Arbeitgeber) versicherungsrechtlich besonders zu prüfen ist. Viele Berufshaftpflichtpolizzen schließen Ansprüche von mitversicherten Personen untereinander aus. </w:t>
      </w:r>
      <w:r>
        <w:rPr>
          <w:b/>
        </w:rPr>
        <w:t>Deckung: wahrscheinlich ausgeschlossen.</w:t>
      </w:r>
    </w:p>
    <w:p>
      <w:pPr>
        <w:jc w:val="left"/>
      </w:pPr>
      <w:r>
        <w:t xml:space="preserve">Darüber hinaus sollte geprüft werden, ob die Kanzlei eine </w:t>
      </w:r>
      <w:r>
        <w:rPr>
          <w:b/>
        </w:rPr>
        <w:t>Cyber-Versicherung</w:t>
      </w:r>
      <w:r>
        <w:t xml:space="preserve"> (D&amp;O / Cyber-Liability) unterhält, die speziell DSGVO-Bußgelder und -Schadensersatzansprüche abdeckt. Eine solche Police besteht laut Aktenlage nicht.</w:t>
      </w:r>
    </w:p>
    <w:p>
      <w:pPr>
        <w:pStyle w:val="Heading3"/>
      </w:pPr>
      <w:r>
        <w:rPr>
          <w:rFonts w:ascii="Times New Roman" w:hAnsi="Times New Roman"/>
        </w:rPr>
        <w:t>Vorfall 3: RAK-Verfahren Az. RAK-F 188/26</w:t>
      </w:r>
    </w:p>
    <w:p>
      <w:pPr>
        <w:jc w:val="left"/>
      </w:pPr>
      <w:r>
        <w:rPr>
          <w:b/>
        </w:rPr>
        <w:t>Deckungsfrage:</w:t>
      </w:r>
      <w:r>
        <w:t xml:space="preserve"> Werden die Kosten der Verteidigung im RAK-Verfahren von der Berufshaftpflicht übernommen?</w:t>
      </w:r>
    </w:p>
    <w:p>
      <w:pPr>
        <w:jc w:val="left"/>
      </w:pPr>
      <w:r>
        <w:rPr>
          <w:b/>
        </w:rPr>
        <w:t>Bewertung:</w:t>
      </w:r>
      <w:r>
        <w:t xml:space="preserve"> Berufshaftpflichtversicherungen decken in der Regel keine berufsrechtlichen Verfahren vor der RAK oder dem Anwaltsgericht. Diese sind von der Deckung üblicherweise ausgeschlossen. Die Kosten der Verteidigung trägt die Kanzlei selbst.</w:t>
      </w:r>
    </w:p>
    <w:p/>
    <w:p>
      <w:pPr>
        <w:pStyle w:val="Heading2"/>
      </w:pPr>
      <w:r>
        <w:rPr>
          <w:rFonts w:ascii="Times New Roman" w:hAnsi="Times New Roman"/>
        </w:rPr>
        <w:t>Empfehlungen</w:t>
      </w:r>
    </w:p>
    <w:p>
      <w:pPr>
        <w:pStyle w:val="ListNumber"/>
      </w:pPr>
      <w:r>
        <w:rPr>
          <w:b/>
        </w:rPr>
        <w:t>Deckungsanfrage bei der Allianz AG</w:t>
      </w:r>
      <w:r>
        <w:t xml:space="preserve"> zu Vorfall 1 (E-Mail-Schaden) schriftlich einreichen</w:t>
      </w:r>
    </w:p>
    <w:p>
      <w:pPr>
        <w:pStyle w:val="ListNumber"/>
      </w:pPr>
      <w:r>
        <w:rPr>
          <w:b/>
        </w:rPr>
        <w:t>Abschluss einer Cyber-Liability-Police</w:t>
      </w:r>
      <w:r>
        <w:t xml:space="preserve"> zur Absicherung von DSGVO-Risiken</w:t>
      </w:r>
    </w:p>
    <w:p>
      <w:pPr>
        <w:pStyle w:val="ListNumber"/>
      </w:pPr>
      <w:r>
        <w:rPr>
          <w:b/>
        </w:rPr>
        <w:t>Überprüfung der Police auf Ausschlüsse</w:t>
      </w:r>
      <w:r>
        <w:t xml:space="preserve"> für vorsätzliche Pflichtverletzungen und Eigenschäden</w:t>
      </w:r>
    </w:p>
    <w:p/>
    <w:p>
      <w:pPr>
        <w:pStyle w:val="Heading2"/>
      </w:pPr>
      <w:r>
        <w:rPr>
          <w:rFonts w:ascii="Times New Roman" w:hAnsi="Times New Roman"/>
        </w:rPr>
        <w:t>Quellen</w:t>
      </w:r>
    </w:p>
    <w:p>
      <w:pPr>
        <w:pStyle w:val="ListBullet"/>
      </w:pPr>
      <w:r>
        <w:t>§ 51 BRAO — dejure.org</w:t>
      </w:r>
    </w:p>
    <w:p>
      <w:pPr>
        <w:pStyle w:val="ListBullet"/>
      </w:pPr>
      <w:r>
        <w:t>Art. 82 DSGVO — EUR-Lex</w:t>
      </w:r>
    </w:p>
    <w:p/>
    <w:p>
      <w:pPr>
        <w:jc w:val="left"/>
      </w:pPr>
      <w:r>
        <w:t>Bearbeitungsstand: 22.04.2026 — RA Dr. Volkard Kröll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