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Schulungspflicht für Kanzleimitarbeiter</w:t>
      </w:r>
    </w:p>
    <w:p>
      <w:pPr>
        <w:jc w:val="left"/>
      </w:pPr>
      <w:r>
        <w:t>Berufsrechtliche und datenschutzrechtliche Schulungsanforderungen nach den Vorfällen 2026</w:t>
      </w:r>
    </w:p>
    <w:p/>
    <w:p>
      <w:pPr>
        <w:pStyle w:val="Heading2"/>
      </w:pPr>
      <w:r>
        <w:rPr>
          <w:rFonts w:ascii="Times New Roman" w:hAnsi="Times New Roman"/>
        </w:rPr>
        <w:t>Rechtsgrundlagen</w:t>
      </w:r>
    </w:p>
    <w:p>
      <w:pPr>
        <w:pStyle w:val="Heading3"/>
      </w:pPr>
      <w:r>
        <w:rPr>
          <w:rFonts w:ascii="Times New Roman" w:hAnsi="Times New Roman"/>
        </w:rPr>
        <w:t>DSGVO — Art. 39 Abs. 1 lit. b</w:t>
      </w:r>
    </w:p>
    <w:p>
      <w:pPr>
        <w:jc w:val="left"/>
      </w:pPr>
      <w:r>
        <w:t>Der Datenschutzbeauftragte hat die Pflicht, „die Mitarbeiter [...] zu unterweisen und zu schulen." Darüber hinaus ergibt sich aus Art. 32 DSGVO (technische und organisatorische Maßnahmen) die Pflicht, Mitarbeiter so zu schulen, dass sie keine DSGVO-Verletzungen verursachen.</w:t>
      </w:r>
    </w:p>
    <w:p>
      <w:pPr>
        <w:jc w:val="left"/>
      </w:pPr>
      <w:r>
        <w:t>Quelle: EUR-Lex — Art. 39 DSGVO</w:t>
      </w:r>
    </w:p>
    <w:p>
      <w:pPr>
        <w:pStyle w:val="Heading3"/>
      </w:pPr>
      <w:r>
        <w:rPr>
          <w:rFonts w:ascii="Times New Roman" w:hAnsi="Times New Roman"/>
        </w:rPr>
        <w:t>BRAO — § 43 und § 43a</w:t>
      </w:r>
    </w:p>
    <w:p>
      <w:pPr>
        <w:jc w:val="left"/>
      </w:pPr>
      <w:r>
        <w:t>Die allgemeine Berufspflicht nach § 43 BRAO umfasst auch die Pflicht zur Fortbildung und zur Organisation der Kanzlei so, dass keine Pflichtverletzungen entstehen. Eine Kanzlei, die Mitarbeiter ohne hinreichende Schulung Massenversände an externe Mandanten durchführen lässt, verletzt ihre Organisationspflicht.</w:t>
      </w:r>
    </w:p>
    <w:p>
      <w:pPr>
        <w:jc w:val="left"/>
      </w:pPr>
      <w:r>
        <w:t>Quelle: dejure.org — § 43 BRAO</w:t>
      </w:r>
    </w:p>
    <w:p/>
    <w:p>
      <w:pPr>
        <w:pStyle w:val="Heading2"/>
      </w:pPr>
      <w:r>
        <w:rPr>
          <w:rFonts w:ascii="Times New Roman" w:hAnsi="Times New Roman"/>
        </w:rPr>
        <w:t>Identifizierter Schulungsbedarf</w:t>
      </w:r>
    </w:p>
    <w:p>
      <w:pPr>
        <w:pStyle w:val="Heading3"/>
      </w:pPr>
      <w:r>
        <w:rPr>
          <w:rFonts w:ascii="Times New Roman" w:hAnsi="Times New Roman"/>
        </w:rPr>
        <w:t>Schulungsmodul 1: DSGVO-Grundlagen für Sekretariat und Verwaltung</w:t>
      </w:r>
    </w:p>
    <w:p>
      <w:pPr>
        <w:jc w:val="left"/>
      </w:pPr>
      <w:r>
        <w:rPr>
          <w:b/>
        </w:rPr>
        <w:t>Zielgruppe:</w:t>
      </w:r>
      <w:r>
        <w:t xml:space="preserve"> Frau Bischoff und alle drei Verwaltungsmitarbeiter der Kanzlei</w:t>
      </w:r>
    </w:p>
    <w:p>
      <w:pPr>
        <w:jc w:val="left"/>
      </w:pPr>
      <w:r>
        <w:rPr>
          <w:b/>
        </w:rPr>
        <w:t>Inhalte:</w:t>
      </w:r>
    </w:p>
    <w:p>
      <w:pPr>
        <w:pStyle w:val="ListBullet"/>
      </w:pPr>
      <w:r>
        <w:t>Was sind personenbezogene Daten? (Art. 4 Nr. 1 DSGVO)</w:t>
      </w:r>
    </w:p>
    <w:p>
      <w:pPr>
        <w:pStyle w:val="ListBullet"/>
      </w:pPr>
      <w:r>
        <w:t>Sensible Kategorien personenbezogener Daten (Art. 9 DSGVO)</w:t>
      </w:r>
    </w:p>
    <w:p>
      <w:pPr>
        <w:pStyle w:val="ListBullet"/>
      </w:pPr>
      <w:r>
        <w:t>Sicherer Umgang mit E-Mail-Verteilern</w:t>
      </w:r>
    </w:p>
    <w:p>
      <w:pPr>
        <w:pStyle w:val="ListBullet"/>
      </w:pPr>
      <w:r>
        <w:t>Vier-Augen-Prinzip vor Massenversand an externe Empfänger</w:t>
      </w:r>
    </w:p>
    <w:p>
      <w:pPr>
        <w:pStyle w:val="ListBullet"/>
      </w:pPr>
      <w:r>
        <w:t>Meldepflicht bei Datenpannen (an wen melden? in welcher Zeit?)</w:t>
      </w:r>
    </w:p>
    <w:p>
      <w:pPr>
        <w:jc w:val="left"/>
      </w:pPr>
      <w:r>
        <w:rPr>
          <w:b/>
        </w:rPr>
        <w:t>Dauer:</w:t>
      </w:r>
      <w:r>
        <w:t xml:space="preserve"> Halbtagesschulung, intern</w:t>
      </w:r>
    </w:p>
    <w:p>
      <w:pPr>
        <w:jc w:val="left"/>
      </w:pPr>
      <w:r>
        <w:rPr>
          <w:b/>
        </w:rPr>
        <w:t>Termin:</w:t>
      </w:r>
      <w:r>
        <w:t xml:space="preserve"> Geplant für Mai 2026</w:t>
      </w:r>
    </w:p>
    <w:p>
      <w:pPr>
        <w:pStyle w:val="Heading3"/>
      </w:pPr>
      <w:r>
        <w:rPr>
          <w:rFonts w:ascii="Times New Roman" w:hAnsi="Times New Roman"/>
        </w:rPr>
        <w:t>Schulungsmodul 2: Berufsrechtliche Korrespondenzregeln für Anwälte</w:t>
      </w:r>
    </w:p>
    <w:p>
      <w:pPr>
        <w:jc w:val="left"/>
      </w:pPr>
      <w:r>
        <w:rPr>
          <w:b/>
        </w:rPr>
        <w:t>Zielgruppe:</w:t>
      </w:r>
      <w:r>
        <w:t xml:space="preserve"> Alle sieben Rechtsanwälte der Kanzlei (einschließlich RA Dr. Kröll und RAin Tannenkamp)</w:t>
      </w:r>
    </w:p>
    <w:p>
      <w:pPr>
        <w:jc w:val="left"/>
      </w:pPr>
      <w:r>
        <w:rPr>
          <w:b/>
        </w:rPr>
        <w:t>Inhalte:</w:t>
      </w:r>
    </w:p>
    <w:p>
      <w:pPr>
        <w:pStyle w:val="ListBullet"/>
      </w:pPr>
      <w:r>
        <w:t>§ 43a Abs. 3 BRAO — Sachlichkeitsgebot</w:t>
      </w:r>
    </w:p>
    <w:p>
      <w:pPr>
        <w:pStyle w:val="ListBullet"/>
      </w:pPr>
      <w:r>
        <w:t>§ 2 BORA — Kollegialitätspflicht</w:t>
      </w:r>
    </w:p>
    <w:p>
      <w:pPr>
        <w:pStyle w:val="ListBullet"/>
      </w:pPr>
      <w:r>
        <w:t>Umgang mit emotionalem Mandantendruck (Stressmechanismen, Distanz)</w:t>
      </w:r>
    </w:p>
    <w:p>
      <w:pPr>
        <w:pStyle w:val="ListBullet"/>
      </w:pPr>
      <w:r>
        <w:t xml:space="preserve">Funktionsweise des Plugins </w:t>
      </w:r>
      <w:r>
        <w:t>email-umformulierer-berufsrecht</w:t>
      </w:r>
    </w:p>
    <w:p>
      <w:pPr>
        <w:pStyle w:val="ListBullet"/>
      </w:pPr>
      <w:r>
        <w:t>Verbot des Nachtversands ohne Überprüfung</w:t>
      </w:r>
    </w:p>
    <w:p>
      <w:pPr>
        <w:pStyle w:val="ListBullet"/>
      </w:pPr>
      <w:r>
        <w:t>Besondere Risiken bei Erbengemeinschaften / Mehrfachmandantschaften</w:t>
      </w:r>
    </w:p>
    <w:p>
      <w:pPr>
        <w:jc w:val="left"/>
      </w:pPr>
      <w:r>
        <w:rPr>
          <w:b/>
        </w:rPr>
        <w:t>Dauer:</w:t>
      </w:r>
      <w:r>
        <w:t xml:space="preserve"> Ganztagesschulung, externer Referent (Fachanwalt Berufsrecht)</w:t>
      </w:r>
    </w:p>
    <w:p>
      <w:pPr>
        <w:jc w:val="left"/>
      </w:pPr>
      <w:r>
        <w:rPr>
          <w:b/>
        </w:rPr>
        <w:t>Termin:</w:t>
      </w:r>
      <w:r>
        <w:t xml:space="preserve"> Geplant für Juni 2026</w:t>
      </w:r>
    </w:p>
    <w:p>
      <w:pPr>
        <w:pStyle w:val="Heading3"/>
      </w:pPr>
      <w:r>
        <w:rPr>
          <w:rFonts w:ascii="Times New Roman" w:hAnsi="Times New Roman"/>
        </w:rPr>
        <w:t>Schulungsmodul 3: E-Mail-Systemschulung Outlook 365 mit DLP</w:t>
      </w:r>
    </w:p>
    <w:p>
      <w:pPr>
        <w:jc w:val="left"/>
      </w:pPr>
      <w:r>
        <w:rPr>
          <w:b/>
        </w:rPr>
        <w:t>Zielgruppe:</w:t>
      </w:r>
      <w:r>
        <w:t xml:space="preserve"> Alle 18 Mitarbeiter</w:t>
      </w:r>
    </w:p>
    <w:p>
      <w:pPr>
        <w:jc w:val="left"/>
      </w:pPr>
      <w:r>
        <w:rPr>
          <w:b/>
        </w:rPr>
        <w:t>Inhalte:</w:t>
      </w:r>
    </w:p>
    <w:p>
      <w:pPr>
        <w:pStyle w:val="ListBullet"/>
      </w:pPr>
      <w:r>
        <w:t>Neue DLP-Policy und was sie blockiert</w:t>
      </w:r>
    </w:p>
    <w:p>
      <w:pPr>
        <w:pStyle w:val="ListBullet"/>
      </w:pPr>
      <w:r>
        <w:t>Umgang mit Quarantäne-E-Mails</w:t>
      </w:r>
    </w:p>
    <w:p>
      <w:pPr>
        <w:pStyle w:val="ListBullet"/>
      </w:pPr>
      <w:r>
        <w:t>Kanzleirichtlinie: keine privaten E-Mail-Konten für Mandatskommunikation</w:t>
      </w:r>
    </w:p>
    <w:p>
      <w:pPr>
        <w:pStyle w:val="ListBullet"/>
      </w:pPr>
      <w:r>
        <w:t>Sicheres Versenden von Anhängen (Dateinamenskonvention, Prüfung vor Absenden)</w:t>
      </w:r>
    </w:p>
    <w:p>
      <w:pPr>
        <w:jc w:val="left"/>
      </w:pPr>
      <w:r>
        <w:rPr>
          <w:b/>
        </w:rPr>
        <w:t>Dauer:</w:t>
      </w:r>
      <w:r>
        <w:t xml:space="preserve"> 2 Stunden, durch NetWork-Recht GmbH</w:t>
      </w:r>
    </w:p>
    <w:p>
      <w:pPr>
        <w:jc w:val="left"/>
      </w:pPr>
      <w:r>
        <w:rPr>
          <w:b/>
        </w:rPr>
        <w:t>Termin:</w:t>
      </w:r>
      <w:r>
        <w:t xml:space="preserve"> Geplant für April 2026 (bereits vereinbart)</w:t>
      </w:r>
    </w:p>
    <w:p/>
    <w:p>
      <w:pPr>
        <w:pStyle w:val="Heading2"/>
      </w:pPr>
      <w:r>
        <w:rPr>
          <w:rFonts w:ascii="Times New Roman" w:hAnsi="Times New Roman"/>
        </w:rPr>
        <w:t>Dokumentation der Schulungen</w:t>
      </w:r>
    </w:p>
    <w:p>
      <w:pPr>
        <w:jc w:val="left"/>
      </w:pPr>
      <w:r>
        <w:t>Alle Schulungen sind zu dokumentieren:</w:t>
      </w:r>
    </w:p>
    <w:p>
      <w:pPr>
        <w:pStyle w:val="ListBullet"/>
      </w:pPr>
      <w:r>
        <w:t>Teilnehmerliste mit Unterschriften</w:t>
      </w:r>
    </w:p>
    <w:p>
      <w:pPr>
        <w:pStyle w:val="ListBullet"/>
      </w:pPr>
      <w:r>
        <w:t>Datum, Dauer, Referent</w:t>
      </w:r>
    </w:p>
    <w:p>
      <w:pPr>
        <w:pStyle w:val="ListBullet"/>
      </w:pPr>
      <w:r>
        <w:t>Inhaltsübersicht</w:t>
      </w:r>
    </w:p>
    <w:p>
      <w:pPr>
        <w:pStyle w:val="ListBullet"/>
      </w:pPr>
      <w:r>
        <w:t>Verbleib in der Kanzleiakte</w:t>
      </w:r>
    </w:p>
    <w:p>
      <w:pPr>
        <w:jc w:val="left"/>
      </w:pPr>
      <w:r>
        <w:t>Die Dokumentation dient als Nachweis gegenüber dem HBDI und der RAK Frankfurt, dass die Kanzlei auf die Vorfälle mit strukturierten Maßnahmen reagiert hat.</w:t>
      </w:r>
    </w:p>
    <w:p/>
    <w:p>
      <w:pPr>
        <w:pStyle w:val="Heading2"/>
      </w:pPr>
      <w:r>
        <w:rPr>
          <w:rFonts w:ascii="Times New Roman" w:hAnsi="Times New Roman"/>
        </w:rPr>
        <w:t>Fortbildungspflicht im Überblick</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Mitarbeitergruppe</w:t>
            </w:r>
          </w:p>
        </w:tc>
        <w:tc>
          <w:tcPr>
            <w:tcW w:type="dxa" w:w="3024"/>
          </w:tcPr>
          <w:p>
            <w:r>
              <w:rPr>
                <w:rFonts w:ascii="Times New Roman" w:hAnsi="Times New Roman"/>
                <w:b/>
                <w:sz w:val="20"/>
              </w:rPr>
              <w:t>Schulungsrhythmus</w:t>
            </w:r>
          </w:p>
        </w:tc>
        <w:tc>
          <w:tcPr>
            <w:tcW w:type="dxa" w:w="3024"/>
          </w:tcPr>
          <w:p>
            <w:r>
              <w:rPr>
                <w:rFonts w:ascii="Times New Roman" w:hAnsi="Times New Roman"/>
                <w:b/>
                <w:sz w:val="20"/>
              </w:rPr>
              <w:t>Schwerpunkt</w:t>
            </w:r>
          </w:p>
        </w:tc>
      </w:tr>
      <w:tr>
        <w:tc>
          <w:tcPr>
            <w:tcW w:type="dxa" w:w="3024"/>
          </w:tcPr>
          <w:p>
            <w:r>
              <w:rPr>
                <w:rFonts w:ascii="Times New Roman" w:hAnsi="Times New Roman"/>
                <w:sz w:val="20"/>
              </w:rPr>
              <w:t>Rechtsanwälte</w:t>
            </w:r>
          </w:p>
        </w:tc>
        <w:tc>
          <w:tcPr>
            <w:tcW w:type="dxa" w:w="3024"/>
          </w:tcPr>
          <w:p>
            <w:r>
              <w:rPr>
                <w:rFonts w:ascii="Times New Roman" w:hAnsi="Times New Roman"/>
                <w:sz w:val="20"/>
              </w:rPr>
              <w:t>Jährlich (BRAO-Fortbildung min. 15 h/Jahr)</w:t>
            </w:r>
          </w:p>
        </w:tc>
        <w:tc>
          <w:tcPr>
            <w:tcW w:type="dxa" w:w="3024"/>
          </w:tcPr>
          <w:p>
            <w:r>
              <w:rPr>
                <w:rFonts w:ascii="Times New Roman" w:hAnsi="Times New Roman"/>
                <w:sz w:val="20"/>
              </w:rPr>
              <w:t>Berufsrecht, DSGVO</w:t>
            </w:r>
          </w:p>
        </w:tc>
      </w:tr>
      <w:tr>
        <w:tc>
          <w:tcPr>
            <w:tcW w:type="dxa" w:w="3024"/>
          </w:tcPr>
          <w:p>
            <w:r>
              <w:rPr>
                <w:rFonts w:ascii="Times New Roman" w:hAnsi="Times New Roman"/>
                <w:sz w:val="20"/>
              </w:rPr>
              <w:t>Sekretariat und Verwaltung</w:t>
            </w:r>
          </w:p>
        </w:tc>
        <w:tc>
          <w:tcPr>
            <w:tcW w:type="dxa" w:w="3024"/>
          </w:tcPr>
          <w:p>
            <w:r>
              <w:rPr>
                <w:rFonts w:ascii="Times New Roman" w:hAnsi="Times New Roman"/>
                <w:sz w:val="20"/>
              </w:rPr>
              <w:t>Jährlich</w:t>
            </w:r>
          </w:p>
        </w:tc>
        <w:tc>
          <w:tcPr>
            <w:tcW w:type="dxa" w:w="3024"/>
          </w:tcPr>
          <w:p>
            <w:r>
              <w:rPr>
                <w:rFonts w:ascii="Times New Roman" w:hAnsi="Times New Roman"/>
                <w:sz w:val="20"/>
              </w:rPr>
              <w:t>DSGVO, Datensicherheit</w:t>
            </w:r>
          </w:p>
        </w:tc>
      </w:tr>
      <w:tr>
        <w:tc>
          <w:tcPr>
            <w:tcW w:type="dxa" w:w="3024"/>
          </w:tcPr>
          <w:p>
            <w:r>
              <w:rPr>
                <w:rFonts w:ascii="Times New Roman" w:hAnsi="Times New Roman"/>
                <w:sz w:val="20"/>
              </w:rPr>
              <w:t>IT-Dienstleister (extern)</w:t>
            </w:r>
          </w:p>
        </w:tc>
        <w:tc>
          <w:tcPr>
            <w:tcW w:type="dxa" w:w="3024"/>
          </w:tcPr>
          <w:p>
            <w:r>
              <w:rPr>
                <w:rFonts w:ascii="Times New Roman" w:hAnsi="Times New Roman"/>
                <w:sz w:val="20"/>
              </w:rPr>
              <w:t>Bei Systemänderungen</w:t>
            </w:r>
          </w:p>
        </w:tc>
        <w:tc>
          <w:tcPr>
            <w:tcW w:type="dxa" w:w="3024"/>
          </w:tcPr>
          <w:p>
            <w:r>
              <w:rPr>
                <w:rFonts w:ascii="Times New Roman" w:hAnsi="Times New Roman"/>
                <w:sz w:val="20"/>
              </w:rPr>
              <w:t>Technische Schutzmaßnahmen</w:t>
            </w:r>
          </w:p>
        </w:tc>
      </w:tr>
    </w:tbl>
    <w:p/>
    <w:p>
      <w:pPr>
        <w:pStyle w:val="Heading2"/>
      </w:pPr>
      <w:r>
        <w:rPr>
          <w:rFonts w:ascii="Times New Roman" w:hAnsi="Times New Roman"/>
        </w:rPr>
        <w:t>Quellen</w:t>
      </w:r>
    </w:p>
    <w:p>
      <w:pPr>
        <w:pStyle w:val="ListBullet"/>
      </w:pPr>
      <w:r>
        <w:t>Art. 39 DSGVO — EUR-Lex</w:t>
      </w:r>
    </w:p>
    <w:p>
      <w:pPr>
        <w:pStyle w:val="ListBullet"/>
      </w:pPr>
      <w:r>
        <w:t>Art. 32 DSGVO — EUR-Lex</w:t>
      </w:r>
    </w:p>
    <w:p>
      <w:pPr>
        <w:pStyle w:val="ListBullet"/>
      </w:pPr>
      <w:r>
        <w:t>§ 43 BRAO — dejure.org</w:t>
      </w:r>
    </w:p>
    <w:p/>
    <w:p>
      <w:pPr>
        <w:jc w:val="left"/>
      </w:pPr>
      <w:r>
        <w:t>Bearbeitungsstand: 22.04.2026 — RAin Yvonne Tannenkamp</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