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Chronologie der Eskalationen</w:t>
      </w:r>
    </w:p>
    <w:p>
      <w:pPr>
        <w:jc w:val="left"/>
      </w:pPr>
      <w:r>
        <w:t>Vollständige Zeitlinie des Mandats Erbengemeinschaft Aufhauser-Trenkler, Oktober 2024 bis April 2026</w:t>
      </w:r>
    </w:p>
    <w:p/>
    <w:p>
      <w:pPr>
        <w:pStyle w:val="Heading2"/>
      </w:pPr>
      <w:r>
        <w:rPr>
          <w:rFonts w:ascii="Times New Roman" w:hAnsi="Times New Roman"/>
        </w:rPr>
        <w:t>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Beteiligte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Aktenstück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03.04.2024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Tod Franz-Josef Aufhauser,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Erblasser, Erbengemeinschaft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10.04.2024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Testamentseröffnung AG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10 Erben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18.08.2024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Gutachten Steinbrenner &amp; Havelock: IPR-KG-Wert 24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Gutachter, Erbengemeinschaft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14.10.2024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Mandatsannahme Kanzlei Rosenmühle &amp; Partner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Kröll, Tannenkamp, alle Erben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Nov. 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Erste Informationsanfrage nach § 166 HGB an IPR-KG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Kröll an Quistorf-Schwertmann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Dez. 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Weigerung Gegenseite: Jahresabschlüsse 2022/2023 nicht herausgegeben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Quistorf-Schwertmann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Jan.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Fristsetzung Kröll, Frist 30 Tage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Kröll an Quistorf-Schwertmann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Feb.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 ergebnislos abgelaufen; Ankündigung Klage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Kröll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März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Teiloffenbarung Jahresabschluss 2022; 2023 weiterhin verweigert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Quistorf-Schwertmann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Juli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Interne Eskalation: Markus Trenkler schreibt direkt an Gegenseite ohne Vollmacht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Trenkler, Quistorf-Schwertmann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Aug.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Kröll rügt Trenkler schriftlich wegen Direktkontakt; Trenkler droht mit Mandatskündigung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Kröll, Trenkler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Sept.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Dr. Kröll führt Telefonate mit allen 10 Erben (Krisenrunde)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Kröll, alle Erben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Okt.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Telefonat Kröll — Quistorf-Schwertmann; Kröll bezeichnet Quistorf-Schwertmann angeblich als „Winkeladvokat" (intern protokolliert)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Kröll, Quistorf-Schwertmann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07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14.02.2026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Nacht-E-Mail Kröll an Quistorf-Schwertmann, 01:47 Uhr</w:t>
            </w:r>
            <w:r>
              <w:rPr>
                <w:rFonts w:ascii="Times New Roman" w:hAnsi="Times New Roman"/>
                <w:sz w:val="20"/>
              </w:rPr>
              <w:t xml:space="preserve"> (Verstoß § 43a Abs. 3 BRAO, § 2 BORA, § 240 StGB-Risiko)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Kröll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05, EML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Umformulierungsversionen v1–v3 erstellt (Plugin), zu spät für Versandstopp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Tannenkamp, Plugin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06, EML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Quistorf-Schwertmann antwortet: Beschwerde bei RAK Frankfurt angekündigt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Quistorf-Schwertmann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22.02.2026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Scharfer Brief RAin Tannenkamp an Notar-Vertreter Dr. Rüdell</w:t>
            </w:r>
            <w:r>
              <w:rPr>
                <w:rFonts w:ascii="Times New Roman" w:hAnsi="Times New Roman"/>
                <w:sz w:val="20"/>
              </w:rPr>
              <w:t xml:space="preserve"> (Sachlichkeitsverstoß, implizite Amtspflichtverletzungsbehauptung)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Tannenkamp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EML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08.03.2026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DSGVO-Datenpanne: private Adresse RAin Tannenkamp versehentlich an alle 10 Erben per Cc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Bischoff (Sekretariat)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10, EML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Meldung DSGVO-Panne an HBDI (Az. HBDI DSB-2026-1142); Benachrichtigung RAin Tannenkamp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Kröll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10, 11, PDF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15.03.2026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Beschwerde Markus Trenkler bei RAK Frankfurt</w:t>
            </w:r>
            <w:r>
              <w:rPr>
                <w:rFonts w:ascii="Times New Roman" w:hAnsi="Times New Roman"/>
                <w:sz w:val="20"/>
              </w:rPr>
              <w:t xml:space="preserve"> (Az. RAK-F 188/26); Vorwürfe: § 43a Abs. 3 BRAO, DSGVO-Panne, Verfahrensverzögerung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Trenkler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DLP-Policy in Outlook 365 aktiviert (Maßnahme nach Audit)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IT-Kanzlei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Verzeichnistrennung und Namenskonvention in Kanzleisystem umgesetzt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IT-Kanzlei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22.03.2026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Anhörungsschreiben RAK Frankfurt an Kanzlei</w:t>
            </w:r>
            <w:r>
              <w:rPr>
                <w:rFonts w:ascii="Times New Roman" w:hAnsi="Times New Roman"/>
                <w:sz w:val="20"/>
              </w:rPr>
              <w:t xml:space="preserve"> (30-Tage-Frist zur Stellungnahme)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RAK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EML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Kanzleirichtlinie „Kommunikation ausschließlich über Kanzleisysteme" erlassen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Kröll (Kanzleileitung)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Stellungnahme Kanzlei an RAK Frankfurt (Az. RAK-F 188/26)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Kröll, Tannenkamp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DOCX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Aktenstand dieser Zusammenfassung; Schulungen geplant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20, 22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Eskalationsmuster: Analyse</w:t>
      </w:r>
    </w:p>
    <w:p>
      <w:pPr>
        <w:pStyle w:val="Heading3"/>
      </w:pPr>
      <w:r>
        <w:rPr>
          <w:rFonts w:ascii="Times New Roman" w:hAnsi="Times New Roman"/>
        </w:rPr>
        <w:t>Phase 1 (Okt. 2024 – Juli 2025): Professioneller Konflikt</w:t>
      </w:r>
    </w:p>
    <w:p>
      <w:pPr>
        <w:jc w:val="left"/>
      </w:pPr>
      <w:r>
        <w:t>Normale Verfahrenskonflikte im Gesellschaftsrecht. Beide Seiten operieren innerhalb des berufsrechtlichen Rahmens. Spannungen entstehen, aber ohne Eskalation.</w:t>
      </w:r>
    </w:p>
    <w:p>
      <w:pPr>
        <w:pStyle w:val="Heading3"/>
      </w:pPr>
      <w:r>
        <w:rPr>
          <w:rFonts w:ascii="Times New Roman" w:hAnsi="Times New Roman"/>
        </w:rPr>
        <w:t>Phase 2 (Aug. 2025 – Jan. 2026): Interne Mandantenkrise</w:t>
      </w:r>
    </w:p>
    <w:p>
      <w:pPr>
        <w:jc w:val="left"/>
      </w:pPr>
      <w:r>
        <w:t>Markus Trenkler beginnt, das Mandat zu untergraben. RA Dr. Kröll gerät unter doppelten Druck (Gegenseite + eigener Mandant). Erste Anzeichen emotionaler Erschöpfung.</w:t>
      </w:r>
    </w:p>
    <w:p>
      <w:pPr>
        <w:pStyle w:val="Heading3"/>
      </w:pPr>
      <w:r>
        <w:rPr>
          <w:rFonts w:ascii="Times New Roman" w:hAnsi="Times New Roman"/>
        </w:rPr>
        <w:t>Phase 3 (Feb. 2026 – März 2026): Kaskadierende Eskalationen</w:t>
      </w:r>
    </w:p>
    <w:p>
      <w:pPr>
        <w:jc w:val="left"/>
      </w:pPr>
      <w:r>
        <w:t xml:space="preserve">Fünf unabhängige Eskalationsereignisse (E-Mail, Tannenkamp-Brief, Datenpanne, Beschwerde, Anhörung) in sechs Wochen. Das Plugin </w:t>
      </w:r>
      <w:r>
        <w:t>email-umformulierer-berufsrecht</w:t>
      </w:r>
      <w:r>
        <w:t xml:space="preserve"> war zwar bereits in der Kanzlei evaluiert, aber nicht verbindlich eingeführt.</w:t>
      </w:r>
    </w:p>
    <w:p>
      <w:pPr>
        <w:pStyle w:val="Heading3"/>
      </w:pPr>
      <w:r>
        <w:rPr>
          <w:rFonts w:ascii="Times New Roman" w:hAnsi="Times New Roman"/>
        </w:rPr>
        <w:t>Phase 4 (März 2026 – April 2026): Schadensbegrenzung</w:t>
      </w:r>
    </w:p>
    <w:p>
      <w:pPr>
        <w:jc w:val="left"/>
      </w:pPr>
      <w:r>
        <w:t>Technische und organisatorische Maßnahmen, Schulungsplanung, Stellungnahme gegenüber RAK. Mandatsverhältnis steht unter starker Belastung, ist aber noch intakt.</w:t>
      </w:r>
    </w:p>
    <w:p/>
    <w:p>
      <w:pPr>
        <w:jc w:val="left"/>
      </w:pPr>
      <w:r>
        <w:t>Bearbeitungsstand: 22.04.2026 — RAin Yvonne Tannenkamp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