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Abschluss: Taktische Handlungsempfehlung</w:t>
      </w:r>
    </w:p>
    <w:p>
      <w:pPr>
        <w:jc w:val="left"/>
      </w:pPr>
      <w:r>
        <w:t>Gesamtbewertung und priorisierter Maßnahmenplan — Stand April 2026</w:t>
      </w:r>
    </w:p>
    <w:p/>
    <w:p>
      <w:pPr>
        <w:pStyle w:val="Heading2"/>
      </w:pPr>
      <w:r>
        <w:rPr>
          <w:rFonts w:ascii="Times New Roman" w:hAnsi="Times New Roman"/>
        </w:rPr>
        <w:t>Gesamtbild</w:t>
      </w:r>
    </w:p>
    <w:p>
      <w:pPr>
        <w:jc w:val="left"/>
      </w:pPr>
      <w:r>
        <w:t>Die Kanzlei Rosenmühle &amp; Partner befindet sich in einer Mehrfach-Eskalationslage, die drei parallel laufende Problemkreise umfasst:</w:t>
      </w:r>
    </w:p>
    <w:p>
      <w:pPr>
        <w:pStyle w:val="ListNumber"/>
      </w:pPr>
      <w:r>
        <w:rPr>
          <w:b/>
        </w:rPr>
        <w:t>Berufsrechtlicher Problemkreis:</w:t>
      </w:r>
      <w:r>
        <w:t xml:space="preserve"> Sachlichkeitsverstoß (E-Mail 14.02.2026), Kollegialitätspflichtverletzung, RAK-Verfahren Az. RAK-F 188/26</w:t>
      </w:r>
    </w:p>
    <w:p>
      <w:pPr>
        <w:pStyle w:val="ListNumber"/>
      </w:pPr>
      <w:r>
        <w:rPr>
          <w:b/>
        </w:rPr>
        <w:t>Datenschutzrechtlicher Problemkreis:</w:t>
      </w:r>
      <w:r>
        <w:t xml:space="preserve"> DSGVO-Panne vom 08.03.2026, HBDI-Verfahren, potentieller Schadensersatzanspruch RAin Tannenkamp</w:t>
      </w:r>
    </w:p>
    <w:p>
      <w:pPr>
        <w:pStyle w:val="ListNumber"/>
      </w:pPr>
      <w:r>
        <w:rPr>
          <w:b/>
        </w:rPr>
        <w:t>Mandatlicher Problemkreis:</w:t>
      </w:r>
      <w:r>
        <w:t xml:space="preserve"> Innenkonflikte der Erbengemeinschaft, 18-monatige Verfahrensverzögerung durch Gegenseite, Mandatsgefährdung durch Markus Trenkler</w:t>
      </w:r>
    </w:p>
    <w:p>
      <w:pPr>
        <w:jc w:val="left"/>
      </w:pPr>
      <w:r>
        <w:t xml:space="preserve">Das Plugin </w:t>
      </w:r>
      <w:r>
        <w:t>email-umformulierer-berufsrecht</w:t>
      </w:r>
      <w:r>
        <w:t xml:space="preserve"> ist der zentrale technische Ansatz zur Prävention weiterer sprachlicher Eskalationen.</w:t>
      </w:r>
    </w:p>
    <w:p/>
    <w:p>
      <w:pPr>
        <w:pStyle w:val="Heading2"/>
      </w:pPr>
      <w:r>
        <w:rPr>
          <w:rFonts w:ascii="Times New Roman" w:hAnsi="Times New Roman"/>
        </w:rPr>
        <w:t>Priorisierter Maßnahmenplan</w:t>
      </w:r>
    </w:p>
    <w:p>
      <w:pPr>
        <w:pStyle w:val="Heading3"/>
      </w:pPr>
      <w:r>
        <w:rPr>
          <w:rFonts w:ascii="Times New Roman" w:hAnsi="Times New Roman"/>
        </w:rPr>
        <w:t>Sofortig (April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RAK Frankfurt (Az. RAK-F 188/26) abschicken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Kröll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 IT-Systeme (Outlook DLP) durch NetWork-Recht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IT, alle 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HBDI-Verfahren DSB-2026-1142 weiter beobachten; Rückfragen beantworten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Kröll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Adresse RAin Tannenkamp aus allen Mandatsdokumenten entfernen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Tannenkamp, 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Kurzfristig (Mai – Juni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DSGVO-Schulung Sekretariat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Datenschutzbeauftragter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Berufsrechtliche Schulung alle 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Externer Referent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Verbindliche Einführung Plugin </w:t>
            </w:r>
            <w:r>
              <w:rPr>
                <w:rFonts w:ascii="Times New Roman" w:hAnsi="Times New Roman"/>
                <w:sz w:val="20"/>
              </w:rPr>
              <w:t>email-umformulierer-berufsrecht</w:t>
            </w:r>
            <w:r>
              <w:rPr>
                <w:rFonts w:ascii="Times New Roman" w:hAnsi="Times New Roman"/>
                <w:sz w:val="20"/>
              </w:rPr>
              <w:t xml:space="preserve"> als Outlook-Add-in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 + Partner-Beschluss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Nacht-Quarantäne-Regel in Outlook implementieren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NetWork-Recht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Telefonprotokoll-Pflicht intern einführen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Kröll (Kanzleileitung)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Mittelfristig (Q3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Informationserzwingungsklage beim LG Frankfurt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Kröll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 einer Cyber-Liability-Police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Versicherungsmakler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Aug.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Überarbeitung Mandatsvertrag Erbengemeinschaft: Weisungskette schriftlich fixieren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Kröll, alle Erben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Aug.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Evaluation Abfindungsangebot der Gegenseite (Target: 8,5–9,3 Mio.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Kröll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Sept.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Strategische Empfehlung zum Mandat</w:t>
      </w:r>
    </w:p>
    <w:p>
      <w:pPr>
        <w:jc w:val="left"/>
      </w:pPr>
      <w:r>
        <w:t>Das Mandatsziel — Durchsetzung eines angemessenen Abfindungswertes von ca. 8,5–9,3 Millionen Euro für die Erbengemeinschaft — bleibt erreichbar. Die Eskalationen der letzten Wochen haben die Verhandlungsposition nicht irreparabel beschädigt, aber die Kanzlei muss nun wieder in eine professionelle Rolle zurückfinden.</w:t>
      </w:r>
    </w:p>
    <w:p>
      <w:pPr>
        <w:jc w:val="left"/>
      </w:pPr>
      <w:r>
        <w:rPr>
          <w:b/>
        </w:rPr>
        <w:t>Empfehlung:</w:t>
      </w:r>
      <w:r>
        <w:t xml:space="preserve"> RA Dr. Kröll sollte in einer moderierten Erben-Versammlung (alle 10 Erben, externer Mediator) die Strategie neu abstimmen. Markus Trenklers Verhalten muss in diesem Rahmen offen angesprochen werden. Eine einheitliche Linie der Erbengemeinschaft ist Voraussetzung für erfolgreiche Verhandlungen.</w:t>
      </w:r>
    </w:p>
    <w:p/>
    <w:p>
      <w:pPr>
        <w:pStyle w:val="Heading2"/>
      </w:pPr>
      <w:r>
        <w:rPr>
          <w:rFonts w:ascii="Times New Roman" w:hAnsi="Times New Roman"/>
        </w:rPr>
        <w:t xml:space="preserve">Dem Plugin </w:t>
      </w:r>
      <w:r>
        <w:rPr>
          <w:rFonts w:ascii="Times New Roman" w:hAnsi="Times New Roman"/>
        </w:rPr>
        <w:t>email-umformulierer-berufsrecht</w:t>
      </w:r>
      <w:r>
        <w:rPr>
          <w:rFonts w:ascii="Times New Roman" w:hAnsi="Times New Roman"/>
        </w:rPr>
        <w:t xml:space="preserve"> zugedachte Rolle</w:t>
      </w:r>
    </w:p>
    <w:p>
      <w:pPr>
        <w:jc w:val="left"/>
      </w:pPr>
      <w:r>
        <w:t>Das Plugin ist nicht die Lösung aller beschriebenen Probleme. Es löst keine mandatlichen Konflikte, keine berufsrechtlichen Vorwürfe und keine DSGVO-Verletzungen rückwirkend. Es ist jedoch ein präventives Werkzeug, das:</w:t>
      </w:r>
    </w:p>
    <w:p>
      <w:pPr>
        <w:pStyle w:val="ListBullet"/>
      </w:pPr>
      <w:r>
        <w:t>Berufsrechtlich riskante Formulierungen vor dem Versand erkennt</w:t>
      </w:r>
    </w:p>
    <w:p>
      <w:pPr>
        <w:pStyle w:val="ListBullet"/>
      </w:pPr>
      <w:r>
        <w:t>Konkrete Umformulierungsvorschläge anbietet</w:t>
      </w:r>
    </w:p>
    <w:p>
      <w:pPr>
        <w:pStyle w:val="ListBullet"/>
      </w:pPr>
      <w:r>
        <w:t>Das Bewusstsein für Sachlichkeitspflichten im täglichen Betrieb schärft</w:t>
      </w:r>
    </w:p>
    <w:p>
      <w:pPr>
        <w:pStyle w:val="ListBullet"/>
      </w:pPr>
      <w:r>
        <w:t>Als dokumentiertes Schutzinstrument gegenüber der RAK präsentiert werden kann</w:t>
      </w:r>
    </w:p>
    <w:p>
      <w:pPr>
        <w:jc w:val="left"/>
      </w:pPr>
      <w:r>
        <w:t>Die Kanzlei Rosenmühle &amp; Partner hat sich entschieden, das Plugin als verbindliches Kanzlei-Tool einzuführen. Dies entspricht dem in § 43 BRAO verankerten Grundsatz der professionellen Kanzleiorganisation.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43 BRAO — dejure.org</w:t>
      </w:r>
    </w:p>
    <w:p>
      <w:pPr>
        <w:pStyle w:val="ListBullet"/>
      </w:pPr>
      <w:r>
        <w:t>§ 43a BRAO — dejure.org</w:t>
      </w:r>
    </w:p>
    <w:p>
      <w:pPr>
        <w:pStyle w:val="ListBullet"/>
      </w:pPr>
      <w:r>
        <w:t>§ 2 BORA — dejure.org</w:t>
      </w:r>
    </w:p>
    <w:p>
      <w:pPr>
        <w:pStyle w:val="ListBullet"/>
      </w:pPr>
      <w:r>
        <w:t>Art. 32 DSGVO — EUR-Lex</w:t>
      </w:r>
    </w:p>
    <w:p/>
    <w:p>
      <w:pPr>
        <w:jc w:val="left"/>
      </w:pPr>
      <w:r>
        <w:t>Bearbeitungsstand: 22.04.2026 — RA Dr. Volkard Kröll / RAin Yvonne Tannenkamp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