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Kompass Mobility GmbH, Bundesministerium, Landesförderbank, Europäische Kommission und Wettbewerberin.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Eine Förderung, eine noch nicht sauber umgesetzte Richtlinie und ein Wettbewerberangriff werfen Beihilfe-, Staatshaftungs- und Auslegungsfragen auf.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AEUV Art. 107 ff.; Richtlinienwirkung; unionsrechtskonforme Auslegung; Staatshaftung; Vorlage Art. 267 AEUV.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