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Kompass: Beihilfe, Richtlinie und nationales Umsetzungschaos“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Eine Förderung, eine noch nicht sauber umgesetzte Richtlinie und ein Wettbewerberangriff werfen Beihilfe-, Staatshaftungs- und Auslegungsfragen auf.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AEUV Art. 107 ff.; Richtlinienwirkung; unionsrechtskonforme Auslegung; Staatshaftung; Vorlage Art. 267 AEUV.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