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Kompass: Beihilfe, Richtlinie und nationales Umsetzungschaos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AEUV Art. 107 ff.; Richtlinienwirkung; unionsrechtskonforme Auslegung; Staatshaftung; Vorlage Art. 267 AEUV.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