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Kompass: Beihilfe, Richtlinie und nationales Umsetzungschaos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AEUV Art. 107 ff.; Richtlinienwirkung; unionsrechtskonforme Auslegung; Staatshaftung; Vorlage Art. 267 AEUV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