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03 — Technische Analyse MFR-3400X: Dual-Use-Potential und Listungsprüfung</w:t>
      </w:r>
    </w:p>
    <w:p>
      <w:pPr>
        <w:jc w:val="left"/>
      </w:pPr>
      <w:r>
        <w:rPr>
          <w:b/>
        </w:rPr>
        <w:t>Aktenzeichen:</w:t>
      </w:r>
      <w:r>
        <w:t xml:space="preserve"> BAFA OWi BL-22-4188/26</w:t>
      </w:r>
    </w:p>
    <w:p>
      <w:pPr>
        <w:jc w:val="left"/>
      </w:pPr>
      <w:r>
        <w:rPr>
          <w:b/>
        </w:rPr>
        <w:t>Erstellt:</w:t>
      </w:r>
      <w:r>
        <w:t xml:space="preserve"> 22. März 2026</w:t>
      </w:r>
    </w:p>
    <w:p>
      <w:pPr>
        <w:jc w:val="left"/>
      </w:pPr>
      <w:r>
        <w:rPr>
          <w:b/>
        </w:rPr>
        <w:t>Ersteller:</w:t>
      </w:r>
      <w:r>
        <w:t xml:space="preserve"> Ass. Rüdiger Pfaff (Kanzlei), Sachverständiger Dipl.-Ing. Dr. Hartmut Grebenstein (extern, Verfahrenstechnik/Exportkontroll-Sachkunde)</w:t>
      </w:r>
    </w:p>
    <w:p>
      <w:pPr>
        <w:jc w:val="left"/>
      </w:pPr>
      <w:r>
        <w:rPr>
          <w:b/>
        </w:rPr>
        <w:t>Grundlage:</w:t>
      </w:r>
      <w:r>
        <w:t xml:space="preserve"> Technische Datenblätter MFR-3400X (Werkmann Doc. TDB-MFR-3400X-Rev.4), Bild-Material, Prüfberichte; Dual-Use-VO (EU) 2021/821, Anhänge I und IV; BAFA-Technischer Leitfaden Chemie/Biologie (Stand: Oktober 2023)</w:t>
      </w:r>
    </w:p>
    <w:p/>
    <w:p>
      <w:pPr>
        <w:pStyle w:val="Heading2"/>
      </w:pPr>
      <w:r>
        <w:rPr>
          <w:rFonts w:ascii="Times New Roman" w:hAnsi="Times New Roman"/>
        </w:rPr>
        <w:t>1. Produktbeschreibung MFR-3400X</w:t>
      </w:r>
    </w:p>
    <w:p>
      <w:pPr>
        <w:jc w:val="left"/>
      </w:pPr>
      <w:r>
        <w:t>Der Mikrofluidik-Reaktor MFR-3400X ist ein kontinuierlich betriebenes Durchflussreaktorsystem für chemische und biochemische Syntheseprozesse. Technische Kernparameter laut Datenblatt (Werkmann Doc. TDB-MFR-3400X-Rev.4):</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Spezifikation</w:t>
            </w:r>
          </w:p>
        </w:tc>
      </w:tr>
      <w:tr>
        <w:tc>
          <w:tcPr>
            <w:tcW w:type="dxa" w:w="4536"/>
          </w:tcPr>
          <w:p>
            <w:r>
              <w:rPr>
                <w:rFonts w:ascii="Times New Roman" w:hAnsi="Times New Roman"/>
                <w:sz w:val="20"/>
              </w:rPr>
              <w:t>Typ</w:t>
            </w:r>
          </w:p>
        </w:tc>
        <w:tc>
          <w:tcPr>
            <w:tcW w:type="dxa" w:w="4536"/>
          </w:tcPr>
          <w:p>
            <w:r>
              <w:rPr>
                <w:rFonts w:ascii="Times New Roman" w:hAnsi="Times New Roman"/>
                <w:sz w:val="20"/>
              </w:rPr>
              <w:t>Modular Microflow Reactor, kontinuierlicher Betrieb</w:t>
            </w:r>
          </w:p>
        </w:tc>
      </w:tr>
      <w:tr>
        <w:tc>
          <w:tcPr>
            <w:tcW w:type="dxa" w:w="4536"/>
          </w:tcPr>
          <w:p>
            <w:r>
              <w:rPr>
                <w:rFonts w:ascii="Times New Roman" w:hAnsi="Times New Roman"/>
                <w:sz w:val="20"/>
              </w:rPr>
              <w:t>Reaktorvolumen (pro Modul)</w:t>
            </w:r>
          </w:p>
        </w:tc>
        <w:tc>
          <w:tcPr>
            <w:tcW w:type="dxa" w:w="4536"/>
          </w:tcPr>
          <w:p>
            <w:r>
              <w:rPr>
                <w:rFonts w:ascii="Times New Roman" w:hAnsi="Times New Roman"/>
                <w:sz w:val="20"/>
              </w:rPr>
              <w:t>5–500 mL (variabel, Modularaufbau bis 8 Stufen)</w:t>
            </w:r>
          </w:p>
        </w:tc>
      </w:tr>
      <w:tr>
        <w:tc>
          <w:tcPr>
            <w:tcW w:type="dxa" w:w="4536"/>
          </w:tcPr>
          <w:p>
            <w:r>
              <w:rPr>
                <w:rFonts w:ascii="Times New Roman" w:hAnsi="Times New Roman"/>
                <w:sz w:val="20"/>
              </w:rPr>
              <w:t>Max. Betriebsdruck</w:t>
            </w:r>
          </w:p>
        </w:tc>
        <w:tc>
          <w:tcPr>
            <w:tcW w:type="dxa" w:w="4536"/>
          </w:tcPr>
          <w:p>
            <w:r>
              <w:rPr>
                <w:rFonts w:ascii="Times New Roman" w:hAnsi="Times New Roman"/>
                <w:sz w:val="20"/>
              </w:rPr>
              <w:t>80 bar</w:t>
            </w:r>
          </w:p>
        </w:tc>
      </w:tr>
      <w:tr>
        <w:tc>
          <w:tcPr>
            <w:tcW w:type="dxa" w:w="4536"/>
          </w:tcPr>
          <w:p>
            <w:r>
              <w:rPr>
                <w:rFonts w:ascii="Times New Roman" w:hAnsi="Times New Roman"/>
                <w:sz w:val="20"/>
              </w:rPr>
              <w:t>Max. Betriebstemperatur</w:t>
            </w:r>
          </w:p>
        </w:tc>
        <w:tc>
          <w:tcPr>
            <w:tcW w:type="dxa" w:w="4536"/>
          </w:tcPr>
          <w:p>
            <w:r>
              <w:rPr>
                <w:rFonts w:ascii="Times New Roman" w:hAnsi="Times New Roman"/>
                <w:sz w:val="20"/>
              </w:rPr>
              <w:t>250 °C</w:t>
            </w:r>
          </w:p>
        </w:tc>
      </w:tr>
      <w:tr>
        <w:tc>
          <w:tcPr>
            <w:tcW w:type="dxa" w:w="4536"/>
          </w:tcPr>
          <w:p>
            <w:r>
              <w:rPr>
                <w:rFonts w:ascii="Times New Roman" w:hAnsi="Times New Roman"/>
                <w:sz w:val="20"/>
              </w:rPr>
              <w:t>Durchflussrate</w:t>
            </w:r>
          </w:p>
        </w:tc>
        <w:tc>
          <w:tcPr>
            <w:tcW w:type="dxa" w:w="4536"/>
          </w:tcPr>
          <w:p>
            <w:r>
              <w:rPr>
                <w:rFonts w:ascii="Times New Roman" w:hAnsi="Times New Roman"/>
                <w:sz w:val="20"/>
              </w:rPr>
              <w:t>10 mL/min bis 20 L/min</w:t>
            </w:r>
          </w:p>
        </w:tc>
      </w:tr>
      <w:tr>
        <w:tc>
          <w:tcPr>
            <w:tcW w:type="dxa" w:w="4536"/>
          </w:tcPr>
          <w:p>
            <w:r>
              <w:rPr>
                <w:rFonts w:ascii="Times New Roman" w:hAnsi="Times New Roman"/>
                <w:sz w:val="20"/>
              </w:rPr>
              <w:t>Genauigkeit Durchfluss</w:t>
            </w:r>
          </w:p>
        </w:tc>
        <w:tc>
          <w:tcPr>
            <w:tcW w:type="dxa" w:w="4536"/>
          </w:tcPr>
          <w:p>
            <w:r>
              <w:rPr>
                <w:rFonts w:ascii="Times New Roman" w:hAnsi="Times New Roman"/>
                <w:sz w:val="20"/>
              </w:rPr>
              <w:t>±0,1 %</w:t>
            </w:r>
          </w:p>
        </w:tc>
      </w:tr>
      <w:tr>
        <w:tc>
          <w:tcPr>
            <w:tcW w:type="dxa" w:w="4536"/>
          </w:tcPr>
          <w:p>
            <w:r>
              <w:rPr>
                <w:rFonts w:ascii="Times New Roman" w:hAnsi="Times New Roman"/>
                <w:sz w:val="20"/>
              </w:rPr>
              <w:t>Materialien (produktberührt)</w:t>
            </w:r>
          </w:p>
        </w:tc>
        <w:tc>
          <w:tcPr>
            <w:tcW w:type="dxa" w:w="4536"/>
          </w:tcPr>
          <w:p>
            <w:r>
              <w:rPr>
                <w:rFonts w:ascii="Times New Roman" w:hAnsi="Times New Roman"/>
                <w:sz w:val="20"/>
              </w:rPr>
              <w:t>Hastelloy C-276; PTFE; Borsilikatglas (optional)</w:t>
            </w:r>
          </w:p>
        </w:tc>
      </w:tr>
      <w:tr>
        <w:tc>
          <w:tcPr>
            <w:tcW w:type="dxa" w:w="4536"/>
          </w:tcPr>
          <w:p>
            <w:r>
              <w:rPr>
                <w:rFonts w:ascii="Times New Roman" w:hAnsi="Times New Roman"/>
                <w:sz w:val="20"/>
              </w:rPr>
              <w:t>Steuerungssystem</w:t>
            </w:r>
          </w:p>
        </w:tc>
        <w:tc>
          <w:tcPr>
            <w:tcW w:type="dxa" w:w="4536"/>
          </w:tcPr>
          <w:p>
            <w:r>
              <w:rPr>
                <w:rFonts w:ascii="Times New Roman" w:hAnsi="Times New Roman"/>
                <w:sz w:val="20"/>
              </w:rPr>
              <w:t>PLC Siemens S7-1500, SCADA-fähig</w:t>
            </w:r>
          </w:p>
        </w:tc>
      </w:tr>
      <w:tr>
        <w:tc>
          <w:tcPr>
            <w:tcW w:type="dxa" w:w="4536"/>
          </w:tcPr>
          <w:p>
            <w:r>
              <w:rPr>
                <w:rFonts w:ascii="Times New Roman" w:hAnsi="Times New Roman"/>
                <w:sz w:val="20"/>
              </w:rPr>
              <w:t>Zertifizierung</w:t>
            </w:r>
          </w:p>
        </w:tc>
        <w:tc>
          <w:tcPr>
            <w:tcW w:type="dxa" w:w="4536"/>
          </w:tcPr>
          <w:p>
            <w:r>
              <w:rPr>
                <w:rFonts w:ascii="Times New Roman" w:hAnsi="Times New Roman"/>
                <w:sz w:val="20"/>
              </w:rPr>
              <w:t>ATEX Zone 1, EG-Maschinenrichtlinie 2006/42/EG</w:t>
            </w:r>
          </w:p>
        </w:tc>
      </w:tr>
      <w:tr>
        <w:tc>
          <w:tcPr>
            <w:tcW w:type="dxa" w:w="4536"/>
          </w:tcPr>
          <w:p>
            <w:r>
              <w:rPr>
                <w:rFonts w:ascii="Times New Roman" w:hAnsi="Times New Roman"/>
                <w:sz w:val="20"/>
              </w:rPr>
              <w:t>Bestimmungsgemäße Verwendung laut TDB</w:t>
            </w:r>
          </w:p>
        </w:tc>
        <w:tc>
          <w:tcPr>
            <w:tcW w:type="dxa" w:w="4536"/>
          </w:tcPr>
          <w:p>
            <w:r>
              <w:rPr>
                <w:rFonts w:ascii="Times New Roman" w:hAnsi="Times New Roman"/>
                <w:sz w:val="20"/>
              </w:rPr>
              <w:t>Pharmazeutische Synthese, Feinchemie, Biotechnologie</w:t>
            </w:r>
          </w:p>
        </w:tc>
      </w:tr>
    </w:tbl>
    <w:p/>
    <w:p>
      <w:pPr>
        <w:pStyle w:val="Heading2"/>
      </w:pPr>
      <w:r>
        <w:rPr>
          <w:rFonts w:ascii="Times New Roman" w:hAnsi="Times New Roman"/>
        </w:rPr>
        <w:t>2. Listungsanalyse Dual-Use-VO (EU) 2021/821</w:t>
      </w:r>
    </w:p>
    <w:p>
      <w:pPr>
        <w:pStyle w:val="Heading3"/>
      </w:pPr>
      <w:r>
        <w:rPr>
          <w:rFonts w:ascii="Times New Roman" w:hAnsi="Times New Roman"/>
        </w:rPr>
        <w:t>2.1 Kategorie 2B350 — Chemieausrüstung</w:t>
      </w:r>
    </w:p>
    <w:p>
      <w:pPr>
        <w:jc w:val="left"/>
      </w:pPr>
      <w:r>
        <w:t>Die Kategorie 2B350 des Anhangs I zur Dual-Use-VO (EU) 2021/821 erfasst (Auszug aus dem konsolidierten Listentext, EUR-Lex L 206/1, S. 88 ff.):</w:t>
      </w:r>
    </w:p>
    <w:p>
      <w:pPr>
        <w:ind w:left="567"/>
      </w:pPr>
      <w:r>
        <w:rPr>
          <w:i/>
        </w:rPr>
        <w:t>„2B350: Ausrüstung und Komponenten, die speziell für die Erzeugung, die Verarbeitung oder das Befüllen chemischer Kampfstoffe oder Vorläufersubstanzen konstruiert oder geändert wurden, und zwar: ...</w:t>
      </w:r>
    </w:p>
    <w:p>
      <w:pPr>
        <w:ind w:left="567"/>
      </w:pPr>
      <w:r>
        <w:rPr>
          <w:i/>
        </w:rPr>
        <w:t>g. Reaktionsgefäße oder -systeme mit einem Nutzvolumen von mehr als 0,1 l, deren produktberührende Flächen vollständig aus einem der folgenden Werkstoffe bestehen oder damit beschichtet sind: Nickellegierungen mit mehr als 25 % Nickelanteil und mehr als 20 % Chromanteil ..."</w:t>
      </w:r>
    </w:p>
    <w:p>
      <w:pPr>
        <w:jc w:val="left"/>
      </w:pPr>
      <w:r>
        <w:t>Hastelloy C-276 weist folgende Zusammensetzung auf: Ni ca. 57 %, Cr ca. 15,5–17,5 %, Mo ca. 15–17 %. Die Nickelangabe (57 %) überschreitet die Schwelle von 25 % deutlich; der Chromanteil (ca. 16 %) liegt knapp unterhalb der Schwelle von 20 %. Die Listungsvoraussetzung für Kategorie 2B350.g ist daher nach dem Wortlaut nicht erfüllt (Chromanteil), was einer Nicht-Listung entspricht.</w:t>
      </w:r>
    </w:p>
    <w:p>
      <w:pPr>
        <w:jc w:val="left"/>
      </w:pPr>
      <w:r>
        <w:t>Der BAFA-Technische Leitfaden Chemie/Biologie (Oktober 2023, S. 44) führt jedoch aus, dass Hastelloy C-276 in der Gesamtbetrachtung als kritisch einzuordnen ist und empfiehlt eine Einzelfallprüfung beim BAFA. Dieser Hinweis ist in der internen Exportkontrollprüfung vom 02.07.2024 nicht berücksichtigt worden.</w:t>
      </w:r>
    </w:p>
    <w:p>
      <w:pPr>
        <w:pStyle w:val="Heading3"/>
      </w:pPr>
      <w:r>
        <w:rPr>
          <w:rFonts w:ascii="Times New Roman" w:hAnsi="Times New Roman"/>
        </w:rPr>
        <w:t>2.2 Kategorie 1C351/1C352 — Biologische Wirkstoffe / Tierische Pathogene</w:t>
      </w:r>
    </w:p>
    <w:p>
      <w:pPr>
        <w:jc w:val="left"/>
      </w:pPr>
      <w:r>
        <w:t>Kategorie 1C351 und 1C352 des Anhangs I erfassen bestimmte biologische Wirkstoffe (Bakterien, Viren, Toxine) sowie tierische Pathogene. Der MFR-3400X selbst enthält keine derartigen Stoffe, ist jedoch als Gerät zur Bioprozesstechnik grundsätzlich geeignet, derartige Stoffe zu kultivieren oder zu verarbeiten. Eine direkte Listung des Geräts unter 1C351/1C352 scheidet mangels Substanzlistung des Reaktors selbst aus.</w:t>
      </w:r>
    </w:p>
    <w:p>
      <w:pPr>
        <w:pStyle w:val="Heading3"/>
      </w:pPr>
      <w:r>
        <w:rPr>
          <w:rFonts w:ascii="Times New Roman" w:hAnsi="Times New Roman"/>
        </w:rPr>
        <w:t>2.3 Kategorie 2B352 — Ausrüstung für biologische Wirkstoffe</w:t>
      </w:r>
    </w:p>
    <w:p>
      <w:pPr>
        <w:jc w:val="left"/>
      </w:pPr>
      <w:r>
        <w:t>Kategorie 2B352 des Anhangs I erfasst u.a.:</w:t>
      </w:r>
    </w:p>
    <w:p>
      <w:pPr>
        <w:ind w:left="567"/>
      </w:pPr>
      <w:r>
        <w:rPr>
          <w:i/>
        </w:rPr>
        <w:t>„Fermentoren geeignet für die Kultivierung von Krankheitserregern oder Toxinen: mit einem Gesamtvolumen von 20 l und mehr..."</w:t>
      </w:r>
    </w:p>
    <w:p>
      <w:pPr>
        <w:jc w:val="left"/>
      </w:pPr>
      <w:r>
        <w:t>Das Gesamtvolumen des MFR-3400X (maximal 8 × 500 mL = 4 l im Grundausbau, optional erweiterbar) unterschreitet die Schwelle von 20 l. Eine Listung unter 2B352 scheidet für die Standardausführung aus; Sonderanfertigungen mit erweitertem Reaktorvolumen wären zu prüfen.</w:t>
      </w:r>
    </w:p>
    <w:p>
      <w:pPr>
        <w:pStyle w:val="Heading3"/>
      </w:pPr>
      <w:r>
        <w:rPr>
          <w:rFonts w:ascii="Times New Roman" w:hAnsi="Times New Roman"/>
        </w:rPr>
        <w:t>2.4 Ergebnis Listungsanalyse</w:t>
      </w:r>
    </w:p>
    <w:p>
      <w:pPr>
        <w:jc w:val="left"/>
      </w:pPr>
      <w:r>
        <w:t>Die technische Analyse ergibt, dass der MFR-3400X in der gelieferten Standardausführung (3 × 500-mL-Module) nicht unmittelbar unter Anhang I der Dual-Use-VO gelistet ist. Gleichwohl besteht ein erhöhtes Risikoprofil durch:</w:t>
      </w:r>
    </w:p>
    <w:p>
      <w:pPr>
        <w:pStyle w:val="ListBullet"/>
      </w:pPr>
      <w:r>
        <w:t>Verwendung von Hastelloy C-276 (kritisches Material laut BAFA-Leitfaden)</w:t>
      </w:r>
    </w:p>
    <w:p>
      <w:pPr>
        <w:pStyle w:val="ListBullet"/>
      </w:pPr>
      <w:r>
        <w:t>Eignung für Bioprozesstechnik bei staatlichem iranischen Endabnehmer</w:t>
      </w:r>
    </w:p>
    <w:p>
      <w:pPr>
        <w:pStyle w:val="ListBullet"/>
      </w:pPr>
      <w:r>
        <w:t>Unzureichende Endverbleibsverifizierung (kein persönlicher Audit, keine Third-Party-Verification)</w:t>
      </w:r>
    </w:p>
    <w:p/>
    <w:p>
      <w:pPr>
        <w:pStyle w:val="Heading2"/>
      </w:pPr>
      <w:r>
        <w:rPr>
          <w:rFonts w:ascii="Times New Roman" w:hAnsi="Times New Roman"/>
        </w:rPr>
        <w:t>3. Art-4-Prüfung (All-Catch-Klausel)</w:t>
      </w:r>
    </w:p>
    <w:p>
      <w:pPr>
        <w:jc w:val="left"/>
      </w:pPr>
      <w:r>
        <w:t>Art. 4 Abs. 1 VO (EU) 2021/821 bestimmt (Auszug):</w:t>
      </w:r>
    </w:p>
    <w:p>
      <w:pPr>
        <w:ind w:left="567"/>
      </w:pPr>
      <w:r>
        <w:rPr>
          <w:i/>
        </w:rPr>
        <w:t>„Der Ausführer teilt dem BAFA mit und holt dessen Zustimmung ein, wenn ihm bekannt ist, dass die Güter ganz oder teilweise für militärische Endverwendungen in einem Bestimmungsland, das einem Rüstungsembargo der EU unterliegt, bestimmt sind oder bestimmt sein könnten..."</w:t>
      </w:r>
    </w:p>
    <w:p>
      <w:pPr>
        <w:jc w:val="left"/>
      </w:pPr>
      <w:r>
        <w:t>Art. 4 Abs. 2 VO (EU) 2021/821 (Catch-All für WMD):</w:t>
      </w:r>
    </w:p>
    <w:p>
      <w:pPr>
        <w:ind w:left="567"/>
      </w:pPr>
      <w:r>
        <w:rPr>
          <w:i/>
        </w:rPr>
        <w:t>„Ein Ausführer teilt der Genehmigungsbehörde mit und holt deren Zustimmung ein, wenn ihm bekannt ist, dass Güter, für die er die Ausfuhr beantragt, ganz oder teilweise für die Entwicklung, Herstellung, Handhabung, den Betrieb, die Wartung, die Lagerung, die Erfassung, die Identifizierung oder Verbreitung von chemischen, biologischen oder nuklearen Waffen oder sonstigen Kernsprengkörpern oder von Trägersystemen dieser Waffen bestimmt sind."</w:t>
      </w:r>
    </w:p>
    <w:p>
      <w:pPr>
        <w:jc w:val="left"/>
      </w:pPr>
      <w:r>
        <w:t>Prüfungsschritte:</w:t>
      </w:r>
    </w:p>
    <w:p>
      <w:pPr>
        <w:pStyle w:val="ListNumber"/>
      </w:pPr>
      <w:r>
        <w:rPr>
          <w:b/>
        </w:rPr>
        <w:t>Subjektive Komponente:</w:t>
      </w:r>
      <w:r>
        <w:t xml:space="preserve"> Wusste Werkmann oder hatte Werkmann Anlass zu wissen (Leichtfertigkeit), dass der MFR-3400X für WMD-relevante Zwecke genutzt werden könnte? → Das Razi Vaccine Institute ist als staatliche iranische Einrichtung grundsätzlich sensibel; die Lieferung erfolgte über einen mehrstufigen Handelskettenmechanismus, was erhöhte Sorgfalt geboten hätte.</w:t>
      </w:r>
    </w:p>
    <w:p>
      <w:pPr>
        <w:pStyle w:val="ListNumber"/>
      </w:pPr>
      <w:r>
        <w:rPr>
          <w:b/>
        </w:rPr>
        <w:t>Objektive Komponente:</w:t>
      </w:r>
      <w:r>
        <w:t xml:space="preserve"> Reicht die bioprozesstechnische Eignung des MFR-3400X in Verbindung mit dem iranischen Endabnehmer aus? → Ja; angesichts der Einordnung Irans als Hochrisikoland und der generellen WMD-Proliferationssensitivität der Bioprozesstechnik wäre eine BAFA-Anfrage nach Art. 4 Abs. 2 Dual-Use-VO geboten gewesen.</w:t>
      </w:r>
    </w:p>
    <w:p/>
    <w:p>
      <w:pPr>
        <w:pStyle w:val="Heading2"/>
      </w:pPr>
      <w:r>
        <w:rPr>
          <w:rFonts w:ascii="Times New Roman" w:hAnsi="Times New Roman"/>
        </w:rPr>
        <w:t>4. Handlungsempfehlung (technische Ebene)</w:t>
      </w:r>
    </w:p>
    <w:p>
      <w:pPr>
        <w:pStyle w:val="ListNumber"/>
      </w:pPr>
      <w:r>
        <w:t>Sachverständiger Dr. Grebenstein wird gebeten, ein schriftliches Gutachten zur Nicht-Listung unter Anhang I zu erstellen und den Art-4-Aspekt zu diskutieren.</w:t>
      </w:r>
    </w:p>
    <w:p>
      <w:pPr>
        <w:pStyle w:val="ListNumber"/>
      </w:pPr>
      <w:r>
        <w:t>Die Kanzlei beantragt beim BAFA im Rahmen der Stellungnahme eine informelle Rückmeldung zur Listungseinordnung (BAFA-Auskunftsverfahren nach § 5 AWG).</w:t>
      </w:r>
    </w:p>
    <w:p>
      <w:pPr>
        <w:pStyle w:val="ListNumber"/>
      </w:pPr>
      <w:r>
        <w:t>Interner Prüfbericht (Anlage 03/B) wird erstellt und als Teil der ICP-Überarbeitung dokumentiert.</w:t>
      </w:r>
    </w:p>
    <w:p/>
    <w:p>
      <w:pPr>
        <w:jc w:val="left"/>
      </w:pPr>
      <w:r>
        <w:rPr>
          <w:i/>
        </w:rPr>
        <w:t>Bearbeitung: Ass. Rüdiger Pfaff / Dr. Grebenstein — Stand: 25. März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