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— Prüfvermerk: Selbstanzeige gemäß § 22 OWiG / Kooperation mit BAFA</w:t>
      </w:r>
    </w:p>
    <w:p>
      <w:pPr>
        <w:jc w:val="left"/>
      </w:pPr>
      <w:r>
        <w:rPr>
          <w:b/>
        </w:rPr>
        <w:t>Aktenzeichen:</w:t>
      </w:r>
      <w:r>
        <w:t xml:space="preserve"> BAFA OWi BL-22-4188/26</w:t>
      </w:r>
    </w:p>
    <w:p>
      <w:pPr>
        <w:jc w:val="left"/>
      </w:pPr>
      <w:r>
        <w:rPr>
          <w:b/>
        </w:rPr>
        <w:t>Erstellt:</w:t>
      </w:r>
      <w:r>
        <w:t xml:space="preserve"> 28. März 2026</w:t>
      </w:r>
    </w:p>
    <w:p>
      <w:pPr>
        <w:jc w:val="left"/>
      </w:pPr>
      <w:r>
        <w:rPr>
          <w:b/>
        </w:rPr>
        <w:t>Bearbeitung:</w:t>
      </w:r>
      <w:r>
        <w:t xml:space="preserve"> RAin Dr. Carola Boekenkamp (LL.M. London), Kanzlei Salzgitter, Boekenkamp &amp; Trautmannsdorf</w:t>
      </w:r>
    </w:p>
    <w:p>
      <w:pPr>
        <w:jc w:val="left"/>
      </w:pPr>
      <w:r>
        <w:rPr>
          <w:b/>
        </w:rPr>
        <w:t>Status:</w:t>
      </w:r>
      <w:r>
        <w:t xml:space="preserve"> Interner Prüfvermerk — anwaltliches Arbeitsdokument (geschützt durch anwaltliches Berufsgeheimnis)</w:t>
      </w:r>
    </w:p>
    <w:p/>
    <w:p>
      <w:pPr>
        <w:pStyle w:val="Heading2"/>
      </w:pPr>
      <w:r>
        <w:rPr>
          <w:rFonts w:ascii="Times New Roman" w:hAnsi="Times New Roman"/>
        </w:rPr>
        <w:t>1. Rechtliche Ausgangslage</w:t>
      </w:r>
    </w:p>
    <w:p>
      <w:pPr>
        <w:jc w:val="left"/>
      </w:pPr>
      <w:r>
        <w:t>Das OWi-Recht kennt keine strafbefreiende Selbstanzeige nach dem Vorbild des § 371 AO. Die Ordnungswidrigkeitenverordnung enthält keine gesetzliche Regelung, die eine Anzeige von OWi-Verstößen zu vollständiger Ahndungsfreiheit führt. Die Bedeutung einer freiwilligen Meldung liegt daher in der Bußgeldbemessung (§ 17 Abs. 3 OWiG) sowie in der Vertrauensbildung gegenüber der Behörde.</w:t>
      </w:r>
    </w:p>
    <w:p>
      <w:pPr>
        <w:jc w:val="left"/>
      </w:pPr>
      <w:r>
        <w:t>§ 17 Abs. 3 OWiG bestimmt:</w:t>
      </w:r>
    </w:p>
    <w:p>
      <w:pPr>
        <w:ind w:left="567"/>
      </w:pPr>
      <w:r>
        <w:rPr>
          <w:i/>
        </w:rPr>
        <w:t>„Grundlage für die Zumessung der Geldbuße sind die Bedeutung der Ordnungswidrigkeit und der Vorwurf, der den Täter trifft. Auch die wirtschaftlichen Verhältnisse des Täters kommen in Betracht; bei geringfügigen Ordnungswidrigkeiten bleiben sie jedoch in der Regel unberücksichtigt."</w:t>
      </w:r>
    </w:p>
    <w:p>
      <w:pPr>
        <w:jc w:val="left"/>
      </w:pPr>
      <w:r>
        <w:t>Kooperationsverhalten kann nach ständiger Verwaltungspraxis des BAFA bußgeldmindernd berücksichtigt werden. Das BAFA-Sanktionsmerkblatt (Stand: September 2022, Abschnitt 6.1) führt ausdrücklich aus, dass „vollständige und proaktive Kooperation, insbesondere die freiwillige Offenbarung von Sachverhalten vor behördlicher Kenntniserlangung, als erheblicher Milderungsgrund bei der Bußgeldbemessung gilt."</w:t>
      </w:r>
    </w:p>
    <w:p/>
    <w:p>
      <w:pPr>
        <w:pStyle w:val="Heading2"/>
      </w:pPr>
      <w:r>
        <w:rPr>
          <w:rFonts w:ascii="Times New Roman" w:hAnsi="Times New Roman"/>
        </w:rPr>
        <w:t>2. Sachverhaltsabgrenzung: Was kennt das BAFA bereits?</w:t>
      </w:r>
    </w:p>
    <w:p>
      <w:pPr>
        <w:jc w:val="left"/>
      </w:pPr>
      <w:r>
        <w:t>Nach Auswertung des BAFA-Anhörungsschreibens vom 03.03.2026 und der darin enthaltenen Sachverhaltsdarstellung ist davon auszugehen, dass das BAFA folgende Informationen bereits kennt:</w:t>
      </w:r>
    </w:p>
    <w:p>
      <w:pPr>
        <w:pStyle w:val="ListBullet"/>
      </w:pPr>
      <w:r>
        <w:t>Identität der Lieferkette (Werkmann → Spengler → Transcaucasia → Razi)</w:t>
      </w:r>
    </w:p>
    <w:p>
      <w:pPr>
        <w:pStyle w:val="ListBullet"/>
      </w:pPr>
      <w:r>
        <w:t>Gerättyp (MFR-3400X) und Seriennummern</w:t>
      </w:r>
    </w:p>
    <w:p>
      <w:pPr>
        <w:pStyle w:val="ListBullet"/>
      </w:pPr>
      <w:r>
        <w:t>Lieferdaten und Zollanmeldungen</w:t>
      </w:r>
    </w:p>
    <w:p>
      <w:pPr>
        <w:pStyle w:val="ListBullet"/>
      </w:pPr>
      <w:r>
        <w:t>Hinweis auf WhatsApp-Kommunikation (offenbar durch Rechtshilfe Schweiz oder Quellenhinweis)</w:t>
      </w:r>
    </w:p>
    <w:p>
      <w:pPr>
        <w:jc w:val="left"/>
      </w:pPr>
      <w:r>
        <w:t>Nicht aus dem BAFA-Schreiben erkennbar, ob dem BAFA folgende Informationen bekannt sind:</w:t>
      </w:r>
    </w:p>
    <w:p>
      <w:pPr>
        <w:pStyle w:val="ListBullet"/>
      </w:pPr>
      <w:r>
        <w:t>Die OFAC-Anfrage an Werkmann Pharma Inc. Boston</w:t>
      </w:r>
    </w:p>
    <w:p>
      <w:pPr>
        <w:pStyle w:val="ListBullet"/>
      </w:pPr>
      <w:r>
        <w:t>Der Al-Quwairy-Korruptionsverdacht</w:t>
      </w:r>
    </w:p>
    <w:p>
      <w:pPr>
        <w:pStyle w:val="ListBullet"/>
      </w:pPr>
      <w:r>
        <w:t>Die mögliche Beteiligung des Ex-Mitarbeiters Nasseri</w:t>
      </w:r>
    </w:p>
    <w:p>
      <w:pPr>
        <w:pStyle w:val="ListBullet"/>
      </w:pPr>
      <w:r>
        <w:t>Frühere Transaktionen mit Spengler Engineering AG (2019–2023)</w:t>
      </w:r>
    </w:p>
    <w:p/>
    <w:p>
      <w:pPr>
        <w:pStyle w:val="Heading2"/>
      </w:pPr>
      <w:r>
        <w:rPr>
          <w:rFonts w:ascii="Times New Roman" w:hAnsi="Times New Roman"/>
        </w:rPr>
        <w:t>3. Entscheidungsmatrix Selbstanzeige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 Selbstanzeige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Contra Selbstanzeige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 bereits bekannt?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(Kern)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 Komplexe unbekannt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Milderungswirkung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bei frühzeitiger Offenbarung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Gering, da BAFA Kern kennt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Offenbarungsrisiko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neuen Risiken beim Kernvorwurf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OFAC-/Nasseri-Komplex würde mit offengelegt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Strafrechtliche Konsequenz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direkte Verbindung im OWi-Verfahren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17 AWG-Prüfung durch Strafverfolgung denkbar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Außenwirkung (Reputationsmanagement)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Kooperativer Eindruck beim BAFA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Öffentliche Wahrnehmung unklar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ICP-Überarbeitung dokumentierbar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stärkt Kooperationseindruck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3.1 Empfehlung</w:t>
      </w:r>
    </w:p>
    <w:p>
      <w:pPr>
        <w:jc w:val="left"/>
      </w:pPr>
      <w:r>
        <w:t>Die Kanzlei empfiehlt folgendes gestuftes Vorgehen:</w:t>
      </w:r>
    </w:p>
    <w:p>
      <w:pPr>
        <w:jc w:val="left"/>
      </w:pPr>
      <w:r>
        <w:rPr>
          <w:b/>
        </w:rPr>
        <w:t>Stufe 1 (sofortig, bis 30. April 2026):</w:t>
      </w:r>
      <w:r>
        <w:t xml:space="preserve"> Abgabe einer vollständigen und detaillierten Stellungnahme zur BAFA-Anhörung. Diese Stellungnahme soll den Kernsachverhalt vollständig und zutreffend darstellen, einschließlich der Mängel in der internen Exportkontrollprüfung und der fehlenden Red-Flag-Analyse. Dieses Verhalten wirkt faktisch wie eine Selbstanzeige, ohne eine formelle Selbstanzeigebezeichnung zu erfordern.</w:t>
      </w:r>
    </w:p>
    <w:p>
      <w:pPr>
        <w:jc w:val="left"/>
      </w:pPr>
      <w:r>
        <w:rPr>
          <w:b/>
        </w:rPr>
        <w:t>Stufe 2 (parallel):</w:t>
      </w:r>
      <w:r>
        <w:t xml:space="preserve"> Unterrichtung des BAFA über die eingeleiteten ICP-Maßnahmen (Neuschulungen, Überarbeitung des Compliance-Handbuchs, Einführung enhanced due diligence für Drittlandkunden) als Zeichen der Kooperationsbereitschaft.</w:t>
      </w:r>
    </w:p>
    <w:p>
      <w:pPr>
        <w:jc w:val="left"/>
      </w:pPr>
      <w:r>
        <w:rPr>
          <w:b/>
        </w:rPr>
        <w:t>Stufe 3 (nach Rücksprache mit Brösel Holzapfel &amp; Partner):</w:t>
      </w:r>
      <w:r>
        <w:t xml:space="preserve"> Keine eigenständige Offenbarung des OFAC-Komplexes gegenüber dem BAFA; dieser wird getrennt und priorisiert mit der US-Seite behandelt.</w:t>
      </w:r>
    </w:p>
    <w:p/>
    <w:p>
      <w:pPr>
        <w:pStyle w:val="Heading2"/>
      </w:pPr>
      <w:r>
        <w:rPr>
          <w:rFonts w:ascii="Times New Roman" w:hAnsi="Times New Roman"/>
        </w:rPr>
        <w:t>4. Verhandlungsstrategie Bußgeldbemessung</w:t>
      </w:r>
    </w:p>
    <w:p>
      <w:pPr>
        <w:jc w:val="left"/>
      </w:pPr>
      <w:r>
        <w:t>Ausgehend vom Bußgeldrahmen des § 18 Abs. 8 AWG (bis 500.000 EUR, bei wirtschaftlichem Vorteil nach § 17 Abs. 4 OWiG ggf. höher) ist der konkret zu erwartende Bußgeldbetrag wie folgt zu schätzen:</w:t>
      </w:r>
    </w:p>
    <w:p>
      <w:pPr>
        <w:pStyle w:val="ListBullet"/>
      </w:pPr>
      <w:r>
        <w:t>Grundbetrag (Schwere des Verstoßes, kein Vorsatz): 80.000–150.000 EUR</w:t>
      </w:r>
    </w:p>
    <w:p>
      <w:pPr>
        <w:pStyle w:val="ListBullet"/>
      </w:pPr>
      <w:r>
        <w:t>Milderung wegen Kooperation und ICP-Maßnahmen: -20 % bis -30 %</w:t>
      </w:r>
    </w:p>
    <w:p>
      <w:pPr>
        <w:pStyle w:val="ListBullet"/>
      </w:pPr>
      <w:r>
        <w:t>Erhöhung wegen wirtschaftlicher Leistungsfähigkeit (§ 17 Abs. 3 OWiG): Umsatz Werkmann 187 Mio. EUR → kein Absehen</w:t>
      </w:r>
    </w:p>
    <w:p>
      <w:pPr>
        <w:pStyle w:val="ListBullet"/>
      </w:pPr>
      <w:r>
        <w:t>Konkreter Schätzwert: 60.000–120.000 EUR</w:t>
      </w:r>
    </w:p>
    <w:p>
      <w:pPr>
        <w:jc w:val="left"/>
      </w:pPr>
      <w:r>
        <w:t>Zum Vergleich: Im BAFA-Jahresbericht 2024 wird der durchschnittliche Bußgeldbetrag in OWi-Verfahren nach § 18 AWG mit ca. 85.000 EUR angegeben (bei Einzelfällen bis zu 3,2 Mio. EUR).</w:t>
      </w:r>
    </w:p>
    <w:p/>
    <w:p>
      <w:pPr>
        <w:pStyle w:val="Heading2"/>
      </w:pPr>
      <w:r>
        <w:rPr>
          <w:rFonts w:ascii="Times New Roman" w:hAnsi="Times New Roman"/>
        </w:rPr>
        <w:t>5.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ICP-Bericht durch KPMG Law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KPMG / CCO Faske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Stellungnahme BAFA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Boekenkamp / Pfaff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Abstimmung Stellungnahme mit Mandant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Werkmann-Lottermann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Stellungnahme beim BAFA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BAFA (erwartet)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Quartal 2026</w:t>
            </w:r>
          </w:p>
        </w:tc>
      </w:tr>
    </w:tbl>
    <w:p/>
    <w:p>
      <w:pPr>
        <w:jc w:val="left"/>
      </w:pPr>
      <w:r>
        <w:rPr>
          <w:i/>
        </w:rPr>
        <w:t>Internes Arbeitsdokument — Vertraulich, anwaltlich geschützt. Keine Weitergabe ohne Genehmigung Dr. Boekenkamp.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