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07 — Korruptionsverdacht Al-Quwairy Trading LLC: FCPA, StGB §§ 299/334, OECD-Konvention</w:t>
      </w:r>
    </w:p>
    <w:p>
      <w:pPr>
        <w:jc w:val="left"/>
      </w:pPr>
      <w:r>
        <w:rPr>
          <w:b/>
        </w:rPr>
        <w:t>Aktenzeichen:</w:t>
      </w:r>
      <w:r>
        <w:t xml:space="preserve"> (intern) WAT-KOR-2026/01</w:t>
      </w:r>
    </w:p>
    <w:p>
      <w:pPr>
        <w:jc w:val="left"/>
      </w:pPr>
      <w:r>
        <w:rPr>
          <w:b/>
        </w:rPr>
        <w:t>Erstellt:</w:t>
      </w:r>
      <w:r>
        <w:t xml:space="preserve"> 05. April 2026</w:t>
      </w:r>
    </w:p>
    <w:p>
      <w:pPr>
        <w:jc w:val="left"/>
      </w:pPr>
      <w:r>
        <w:rPr>
          <w:b/>
        </w:rPr>
        <w:t>Bearbeitung:</w:t>
      </w:r>
      <w:r>
        <w:t xml:space="preserve"> RAin Tamara Goller-Neuss (Strafrecht/Compliance), Kanzlei Salzgitter, Boekenkamp &amp; Trautmannsdorf; forensische Unterstützung: KPMG Law GmbH, Frankfurt</w:t>
      </w:r>
    </w:p>
    <w:p/>
    <w:p>
      <w:pPr>
        <w:pStyle w:val="Heading2"/>
      </w:pPr>
      <w:r>
        <w:rPr>
          <w:rFonts w:ascii="Times New Roman" w:hAnsi="Times New Roman"/>
        </w:rPr>
        <w:t>1. Sachverhalt</w:t>
      </w:r>
    </w:p>
    <w:p>
      <w:pPr>
        <w:pStyle w:val="Heading3"/>
      </w:pPr>
      <w:r>
        <w:rPr>
          <w:rFonts w:ascii="Times New Roman" w:hAnsi="Times New Roman"/>
        </w:rPr>
        <w:t>1.1 Al-Quwairy Trading LLC</w:t>
      </w:r>
    </w:p>
    <w:p>
      <w:pPr>
        <w:jc w:val="left"/>
      </w:pPr>
      <w:r>
        <w:t>Die Al-Quwairy Trading LLC ist eine saudi-arabische Gesellschaft mit beschränkter Haftung (Handelsregisternummer CR 4030142877), ansässig in Riad, Al-Olaya-Viertel, Al-Faisaliah Tower, 19. Etage. Geschäftsführer: Mohammed Ibrahim Al-Quwairy (Vorsitzender, Saudi Staatsbürger). Al-Quwairy Trading LLC ist seit 2017 exklusiver Handelsvertreter der Werkmann Anlagentechnik AG für das Königreich Saudi-Arabien und Bahrain (Handelsvertretervertrag WAT-HVV-SA-2017, Laufzeit zunächst bis 2022, verlängert bis 2027).</w:t>
      </w:r>
    </w:p>
    <w:p>
      <w:pPr>
        <w:jc w:val="left"/>
      </w:pPr>
      <w:r>
        <w:t>Provisionsstruktur laut Vertrag: 6 % auf Netto-Auftragsvolumen. Im Jahr 2025 wurden Al-Quwairy Trading LLC Provisionen in Höhe von insgesamt 614.000 EUR ausgezahlt (Referenz: Zahlungsprotokoll KPMG Law Rev-001).</w:t>
      </w:r>
    </w:p>
    <w:p>
      <w:pPr>
        <w:pStyle w:val="Heading3"/>
      </w:pPr>
      <w:r>
        <w:rPr>
          <w:rFonts w:ascii="Times New Roman" w:hAnsi="Times New Roman"/>
        </w:rPr>
        <w:t>1.2 Zahlungsvorgang Saudi SFDA-Auftrag</w:t>
      </w:r>
    </w:p>
    <w:p>
      <w:pPr>
        <w:jc w:val="left"/>
      </w:pPr>
      <w:r>
        <w:t>Im Kontext eines Ausschreibungsverfahrens der Saudi Food and Drug Authority (SFDA, Riad) für die Beschaffung von fünf Präzisions-Mahlanlagen (Typ PMA-7500-Pharma) zum Gesamtwert von ca. 1,6 Millionen USD hat Al-Quwairy Trading LLC nach vorliegenden Informationen einen Betrag von 380.000 USD (Überweisung in drei Tranchen: 150.000 USD am 18.09.2025, 130.000 USD am 03.10.2025, 100.000 USD am 22.10.2025) an eine Gesellschaft überwiesen, die einem leitenden Beamten des saudischen Ministeriums für Industrie und Mineralressourcen (MIM) zugeordnet wird. Der Beamte (Name: gemäß internem Bericht [GESCHWÄRZT]) ist am Vergabeprozess der SFDA beteiligt.</w:t>
      </w:r>
    </w:p>
    <w:p>
      <w:pPr>
        <w:jc w:val="left"/>
      </w:pPr>
      <w:r>
        <w:t>Diese Informationen stammen aus einer internen Revision, die KPMG Law im Januar 2026 im Rahmen der allgemeinen Jahresprüfung der Zahlungsströme an Auslandsvertreter durchgeführt hat (Bericht: KPMG Law Rev-001, Datum: 22. Januar 2026).</w:t>
      </w:r>
    </w:p>
    <w:p/>
    <w:p>
      <w:pPr>
        <w:pStyle w:val="Heading2"/>
      </w:pPr>
      <w:r>
        <w:rPr>
          <w:rFonts w:ascii="Times New Roman" w:hAnsi="Times New Roman"/>
        </w:rPr>
        <w:t>2. Rechtliche Würdigung</w:t>
      </w:r>
    </w:p>
    <w:p>
      <w:pPr>
        <w:pStyle w:val="Heading3"/>
      </w:pPr>
      <w:r>
        <w:rPr>
          <w:rFonts w:ascii="Times New Roman" w:hAnsi="Times New Roman"/>
        </w:rPr>
        <w:t>2.1 Deutsche Strafvorschriften</w:t>
      </w:r>
    </w:p>
    <w:p>
      <w:pPr>
        <w:jc w:val="left"/>
      </w:pPr>
      <w:r>
        <w:rPr>
          <w:b/>
        </w:rPr>
        <w:t>§ 334 StGB — Bestechung im Amtsverkehr:</w:t>
      </w:r>
    </w:p>
    <w:p>
      <w:pPr>
        <w:jc w:val="left"/>
      </w:pPr>
      <w:r>
        <w:t>§ 334 Abs. 1 StGB ist auf die Bestechung ausländischer Amtsträger anwendbar, soweit diese im Zusammenhang mit internationalem Geschäftsverkehr erfolgt. § 335 Abs. 2 Nr. 3 StGB (Besonders schwere Fälle) sieht Freiheitsstrafen bis zu zehn Jahren vor. Voraussetzung: Vorteilsgewährung an einen Amtsträger (§ 11 Abs. 1 Nr. 2 StGB). Beamte des saudischen MIM, die im Rahmen öffentlicher Aufträge tätig sind, können als ausländische Amtsträger i.S.d. § 335a StGB (IntBestG) eingestuft werden.</w:t>
      </w:r>
    </w:p>
    <w:p>
      <w:pPr>
        <w:jc w:val="left"/>
      </w:pPr>
      <w:r>
        <w:rPr>
          <w:b/>
        </w:rPr>
        <w:t>§ 299 StGB — Bestechlichkeit und Bestechung im geschäftlichen Verkehr:</w:t>
      </w:r>
    </w:p>
    <w:p>
      <w:pPr>
        <w:jc w:val="left"/>
      </w:pPr>
      <w:r>
        <w:t>§ 299 Abs. 2 StGB in der Fassung des Gesetzes zur Bekämpfung der Korruption (BGBl. I 2015, S. 2025) erfasst auch die Bestechung im internationalen Geschäftsverkehr. Eine separate Anwendbarkeit neben § 334 StGB (i.V.m. IntBestG) ist zu prüfen, wenn der SFDA-Mitarbeiter nicht Amtsträger i.S.d. § 11 StGB ist, sondern im privaten Beschaffungsbereich agiert.</w:t>
      </w:r>
    </w:p>
    <w:p>
      <w:pPr>
        <w:jc w:val="left"/>
      </w:pPr>
      <w:r>
        <w:rPr>
          <w:b/>
        </w:rPr>
        <w:t>§ 30 OWiG — Verbandsgeldbuße:</w:t>
      </w:r>
    </w:p>
    <w:p>
      <w:pPr>
        <w:jc w:val="left"/>
      </w:pPr>
      <w:r>
        <w:t>Die Werkmann Anlagentechnik AG kann als Unternehmen gemäß § 30 OWiG mit einer Geldbuße belegt werden, wenn ein organschaftlicher Vertreter (Mitglied des Vorstands oder GF) die Tat begangen oder eine Verletzung von Organisationspflichten nach § 130 OWiG zu einer solchen Tat ermöglicht hat. Der Bußgeldrahmen beträgt bis zu 10 Millionen EUR (§ 30 Abs. 2 Nr. 1 OWiG). Darüber hinaus ist nach § 73 StGB die Einziehung des erlangten Wirtschaftsvorteils (Auftragsvolumen abzüglich aufgewendeter Kosten) möglich.</w:t>
      </w:r>
    </w:p>
    <w:p>
      <w:pPr>
        <w:pStyle w:val="Heading3"/>
      </w:pPr>
      <w:r>
        <w:rPr>
          <w:rFonts w:ascii="Times New Roman" w:hAnsi="Times New Roman"/>
        </w:rPr>
        <w:t>2.2 OECD-Konvention über die Bekämpfung der Bestechung ausländischer Amtsträger</w:t>
      </w:r>
    </w:p>
    <w:p>
      <w:pPr>
        <w:jc w:val="left"/>
      </w:pPr>
      <w:r>
        <w:t>Das OECD-Übereinkommen über die Bekämpfung der Bestechung ausländischer Amtsträger im internationalen Geschäftsverkehr vom 17. Dezember 1997 (BGBL. II 1998, S. 2329, in Deutschland umgesetzt durch das Gesetz zu dem OECD-Übereinkommen — IntBestG, BGBl. II 1998, S. 2327) verpflichtet die Vertragsstaaten zur Strafverfolgung der Bestechung ausländischer Amtsträger.</w:t>
      </w:r>
    </w:p>
    <w:p>
      <w:pPr>
        <w:pStyle w:val="Heading3"/>
      </w:pPr>
      <w:r>
        <w:rPr>
          <w:rFonts w:ascii="Times New Roman" w:hAnsi="Times New Roman"/>
        </w:rPr>
        <w:t>2.3 US Foreign Corrupt Practices Act (FCPA)</w:t>
      </w:r>
    </w:p>
    <w:p>
      <w:pPr>
        <w:jc w:val="left"/>
      </w:pPr>
      <w:r>
        <w:t>Der FCPA (15 U.S.C. §§ 78dd-1 et seq., 78m(b), (d), (g)–(j)) ist anwendbar auf:</w:t>
      </w:r>
    </w:p>
    <w:p>
      <w:pPr>
        <w:pStyle w:val="ListBullet"/>
      </w:pPr>
      <w:r>
        <w:t>US-Personen und Unternehmen (direkt)</w:t>
      </w:r>
    </w:p>
    <w:p>
      <w:pPr>
        <w:pStyle w:val="ListBullet"/>
      </w:pPr>
      <w:r>
        <w:t>Ausländische Emittenten bei US-Wertpapieren (Werkmann Anlagentechnik AG: nicht börsennotiert → kein §-78dd-1-Emittent)</w:t>
      </w:r>
    </w:p>
    <w:p>
      <w:pPr>
        <w:pStyle w:val="ListBullet"/>
      </w:pPr>
      <w:r>
        <w:t>Ausländische Personen und Unternehmen, soweit sie US-Territorium nutzen oder einen „jurisdictional nexus" herstellen</w:t>
      </w:r>
    </w:p>
    <w:p>
      <w:pPr>
        <w:jc w:val="left"/>
      </w:pPr>
      <w:r>
        <w:rPr>
          <w:b/>
        </w:rPr>
        <w:t>Jurisdictional Nexus für Werkmann:</w:t>
      </w:r>
      <w:r>
        <w:t xml:space="preserve"> Werkmann Pharma Inc. (Boston) ist eine US-Tochtergesellschaft. Unter dem FCPA ist eine Muttergesellschaft für Handlungen ihrer Tochtergesellschaft verantwortlich, wenn sie die korrupten Zahlungen kannte, billigte oder hätte erkennen müssen (alter ego / constructive knowledge). Wenn Al-Quwairy Trading LLC als Agent (dritter Dienstleister) der Werkmann-Gruppe handelnd angesehen wird, ergibt sich eine FCPA-Haftung aus §§ 78dd-2(a)(3) (Handlungen durch Dritte), soweit die US-Tochter oder ein US-Kanal genutzt wurde.</w:t>
      </w:r>
    </w:p>
    <w:p>
      <w:pPr>
        <w:jc w:val="left"/>
      </w:pPr>
      <w:r>
        <w:t>DOJ und SEC haben eine Zuständigkeit bei Sachverhalten mit minimaler US-Berührung regelmäßig bejaht. Strafrahmen nach FCPA: Geldstrafe bis zu 2 Millionen USD je Verstoß (natürliche Personen: bis 250.000 USD und Freiheitsstrafe bis 5 Jahre).</w:t>
      </w:r>
    </w:p>
    <w:p/>
    <w:p>
      <w:pPr>
        <w:pStyle w:val="Heading2"/>
      </w:pPr>
      <w:r>
        <w:rPr>
          <w:rFonts w:ascii="Times New Roman" w:hAnsi="Times New Roman"/>
        </w:rPr>
        <w:t>3. Interne Untersuchung — KPMG Law</w:t>
      </w:r>
    </w:p>
    <w:p>
      <w:pPr>
        <w:jc w:val="left"/>
      </w:pPr>
      <w:r>
        <w:t>KPMG Law wurde am 28. Januar 2026 mit einer forensischen Buchprüfung beauftragt. Auftrag: Vollständige Aufarbeitung aller Zahlungsströme an Al-Quwairy Trading LLC seit 2017; Identifizierung weiterer Red Flags in anderen Ländermärkten (VAE, Ägypten, Pakistan); Sichtung von E-Mail-Kommunikation zwischen Werkmann-Vertrieb und Al-Quwairy.</w:t>
      </w:r>
    </w:p>
    <w:p>
      <w:pPr>
        <w:jc w:val="left"/>
      </w:pPr>
      <w:r>
        <w:t>Zwischenbericht KPMG Law (Datum: 31. März 2026) — Kernaussagen:</w:t>
      </w:r>
    </w:p>
    <w:p>
      <w:pPr>
        <w:pStyle w:val="ListBullet"/>
      </w:pPr>
      <w:r>
        <w:t>Drei verdächtige Zahlungen von Al-Quwairy an Dritte in Höhe von insgesamt 380.000 USD festgestellt (s.o.)</w:t>
      </w:r>
    </w:p>
    <w:p>
      <w:pPr>
        <w:pStyle w:val="ListBullet"/>
      </w:pPr>
      <w:r>
        <w:t>Keine weiteren auffälligen Drittpartei-Zahlungen in anderen Märkten identifiziert</w:t>
      </w:r>
    </w:p>
    <w:p>
      <w:pPr>
        <w:pStyle w:val="ListBullet"/>
      </w:pPr>
      <w:r>
        <w:t>Interne Kommunikation: Keine Belege dafür, dass GF oder Vertriebsleitung von den Zahlungen wussten</w:t>
      </w:r>
    </w:p>
    <w:p>
      <w:pPr>
        <w:pStyle w:val="ListBullet"/>
      </w:pPr>
      <w:r>
        <w:t>Auffälligkeit: Vertriebsmitarbeiter Klaus-Peter Enders (Bereich Naher Osten) hat in einer E-Mail an Al-Quwairy im August 2025 auf die „Notwendigkeit, alle lokalen Hindernisse zu überwinden" hingewiesen — mögliche Andeutung; kein direkter Beleg für Wissen um konkrete Bestechung</w:t>
      </w:r>
    </w:p>
    <w:p/>
    <w:p>
      <w:pPr>
        <w:pStyle w:val="Heading2"/>
      </w:pPr>
      <w:r>
        <w:rPr>
          <w:rFonts w:ascii="Times New Roman" w:hAnsi="Times New Roman"/>
        </w:rPr>
        <w:t>4. Handlungsempfehlungen</w:t>
      </w:r>
    </w:p>
    <w:p>
      <w:pPr>
        <w:pStyle w:val="ListNumber"/>
      </w:pPr>
      <w:r>
        <w:rPr>
          <w:b/>
        </w:rPr>
        <w:t>Strafanzeige erwägen:</w:t>
      </w:r>
      <w:r>
        <w:t xml:space="preserve"> Werkmann sollte eine freiwillige Strafanzeige bei der Staatsanwaltschaft Frankfurt (Wirtschaftsabteilung) prüfen, um einer etwaigen behördlich eingeleiteten Strafverfolgung zuvorzukommen und Kronzeugenstatus zu erlangen.</w:t>
      </w:r>
    </w:p>
    <w:p>
      <w:pPr>
        <w:pStyle w:val="ListNumber"/>
      </w:pPr>
      <w:r>
        <w:rPr>
          <w:b/>
        </w:rPr>
        <w:t>FCPA Voluntary Disclosure:</w:t>
      </w:r>
      <w:r>
        <w:t xml:space="preserve"> Brösel Holzapfel &amp; Partner Washington prüft Voluntary Self-Disclosure beim DOJ/SEC. Fristen sind kurz; Entscheidung bis 15. April 2026 erforderlich.</w:t>
      </w:r>
    </w:p>
    <w:p>
      <w:pPr>
        <w:pStyle w:val="ListNumber"/>
      </w:pPr>
      <w:r>
        <w:rPr>
          <w:b/>
        </w:rPr>
        <w:t>Kündigung Handelsvertretervertrag:</w:t>
      </w:r>
      <w:r>
        <w:t xml:space="preserve"> Al-Quwairy-Vertrag aus wichtigem Grund (§ 89a HGB) mit sofortiger Wirkung kündigen — rechtliche Grundlage: Straftat des HV als wichtiger Grund.</w:t>
      </w:r>
    </w:p>
    <w:p>
      <w:pPr>
        <w:pStyle w:val="ListNumber"/>
      </w:pPr>
      <w:r>
        <w:rPr>
          <w:b/>
        </w:rPr>
        <w:t>Ausstehende Provisionen einfrieren:</w:t>
      </w:r>
      <w:r>
        <w:t xml:space="preserve"> Die für 2026 fälligen Provisionen (ca. 180.000 EUR) sind vorerst zurückzubehalten; Treuhandkonto erwägen.</w:t>
      </w:r>
    </w:p>
    <w:p>
      <w:pPr>
        <w:pStyle w:val="ListNumber"/>
      </w:pPr>
      <w:r>
        <w:rPr>
          <w:b/>
        </w:rPr>
        <w:t>Mitarbeiterbefragung Enders:</w:t>
      </w:r>
      <w:r>
        <w:t xml:space="preserve"> Interne Befragung von Klaus-Peter Enders durch externe Kanzlei (nicht Salzgitter, Boekenkamp — Interessenkonflikt vermeiden); Personalrechtliche Maßnahmen prüfen.</w:t>
      </w:r>
    </w:p>
    <w:p/>
    <w:p>
      <w:pPr>
        <w:jc w:val="left"/>
      </w:pPr>
      <w:r>
        <w:rPr>
          <w:i/>
        </w:rPr>
        <w:t>Bearbeitung: RAin Tamara Goller-Neuss / KPMG Law — Stand: 07.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