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10 — CBAM-Fehlmeldungen und EU/UK-Russland-Sanktionen: Aluminium-Bauteile Türkei</w:t>
      </w:r>
    </w:p>
    <w:p>
      <w:pPr>
        <w:jc w:val="left"/>
      </w:pPr>
      <w:r>
        <w:rPr>
          <w:b/>
        </w:rPr>
        <w:t>Aktenzeichen:</w:t>
      </w:r>
      <w:r>
        <w:t xml:space="preserve"> (intern) WAT-CBAM-2026/01</w:t>
      </w:r>
    </w:p>
    <w:p>
      <w:pPr>
        <w:jc w:val="left"/>
      </w:pPr>
      <w:r>
        <w:rPr>
          <w:b/>
        </w:rPr>
        <w:t>Erstellt:</w:t>
      </w:r>
      <w:r>
        <w:t xml:space="preserve"> 15. April 2026</w:t>
      </w:r>
    </w:p>
    <w:p>
      <w:pPr>
        <w:jc w:val="left"/>
      </w:pPr>
      <w:r>
        <w:rPr>
          <w:b/>
        </w:rPr>
        <w:t>Bearbeitung:</w:t>
      </w:r>
      <w:r>
        <w:t xml:space="preserve"> Ass. Rüdiger Pfaff; RAin Dr. Boekenkamp (Freigabe)</w:t>
      </w:r>
    </w:p>
    <w:p/>
    <w:p>
      <w:pPr>
        <w:pStyle w:val="Heading2"/>
      </w:pPr>
      <w:r>
        <w:rPr>
          <w:rFonts w:ascii="Times New Roman" w:hAnsi="Times New Roman"/>
        </w:rPr>
        <w:t>1. Sachverhalt: Aluminium-Zukauf aus der Türkei</w:t>
      </w:r>
    </w:p>
    <w:p>
      <w:pPr>
        <w:jc w:val="left"/>
      </w:pPr>
      <w:r>
        <w:t>Die Werkmann Anlagentechnik AG bezieht seit 2022 Aluminiumguss-Bauteile (Gehäuse für PMA- und MFR-Baureihen) von der Anadolu Döküm Sanayi A.Ş. (Bursa, Türkei; VAT-Nr. TR-3200147839). Auftragsvolumen 2024: ca. 4,2 Millionen EUR. Die Bauteile werden von Anadolu Döküm aus Aluminiumlegierungen (EN AW-6061, T6) gefertigt.</w:t>
      </w:r>
    </w:p>
    <w:p>
      <w:pPr>
        <w:jc w:val="left"/>
      </w:pPr>
      <w:r>
        <w:t>Interne Revision (Januar 2026) hat festgestellt, dass der Aluminium-Rohling (Walzbarren), den Anadolu Döküm verarbeitet, nach einem Hinweis des Qualitätsprüfers Hamza Başaran (Anadolu Döküm, interner E-Mail-Auszug vom 14.06.2024) zumindest teilweise aus russischer Produktion stammt — genauer: Vorgaben von RUSAL (UC RUSAL, russischer Aluminiumhersteller). Anadolu Döküm hat dies gegenüber Werkmann nicht deklariert.</w:t>
      </w:r>
    </w:p>
    <w:p/>
    <w:p>
      <w:pPr>
        <w:pStyle w:val="Heading2"/>
      </w:pPr>
      <w:r>
        <w:rPr>
          <w:rFonts w:ascii="Times New Roman" w:hAnsi="Times New Roman"/>
        </w:rPr>
        <w:t>2. CBAM — Carbon Border Adjustment Mechanism</w:t>
      </w:r>
    </w:p>
    <w:p>
      <w:pPr>
        <w:pStyle w:val="Heading3"/>
      </w:pPr>
      <w:r>
        <w:rPr>
          <w:rFonts w:ascii="Times New Roman" w:hAnsi="Times New Roman"/>
        </w:rPr>
        <w:t>2.1 Rechtsrahmen</w:t>
      </w:r>
    </w:p>
    <w:p>
      <w:pPr>
        <w:jc w:val="left"/>
      </w:pPr>
      <w:r>
        <w:t>Die CBAM-Verordnung — VO (EU) 2023/956 des Europäischen Parlaments und des Rates vom 10. Mai 2023 über einen CO2-Grenzausgleichsmechanismus (ABl. L 130/52) — gilt ab dem 01. Oktober 2023 in der Übergangsphase (reine Berichtspflicht) und ab dem 01. Januar 2026 mit der Abgabenverpflichtung für CBAM-Zertifikate.</w:t>
      </w:r>
    </w:p>
    <w:p>
      <w:pPr>
        <w:jc w:val="left"/>
      </w:pPr>
      <w:r>
        <w:t>CBAM-Pflichtgüter: Aluminium (KN-Kapitel 76), Stahl, Zement, Strom, Düngemittel, Wasserstoff (Anhang I der VO (EU) 2023/956). Werkmann importiert Aluminiumgussbauteile (KN 7616 99) aus der Türkei — CBAM-pflichtig ab Übergangsphase.</w:t>
      </w:r>
    </w:p>
    <w:p>
      <w:pPr>
        <w:pStyle w:val="Heading3"/>
      </w:pPr>
      <w:r>
        <w:rPr>
          <w:rFonts w:ascii="Times New Roman" w:hAnsi="Times New Roman"/>
        </w:rPr>
        <w:t>2.2 Fehlmeldungen</w:t>
      </w:r>
    </w:p>
    <w:p>
      <w:pPr>
        <w:jc w:val="left"/>
      </w:pPr>
      <w:r>
        <w:t>In den CBAM-Quartalsmeldungen für 2024 (Q1–Q4 2024, erstattet über das CBAM-Register der Bundeszolldirektion) hat Werkmann die Ursprungsangaben wie folgt deklariert:</w:t>
      </w:r>
    </w:p>
    <w:p>
      <w:pPr>
        <w:pStyle w:val="ListBullet"/>
      </w:pPr>
      <w:r>
        <w:t>Warenursprung: Türkei</w:t>
      </w:r>
    </w:p>
    <w:p>
      <w:pPr>
        <w:pStyle w:val="ListBullet"/>
      </w:pPr>
      <w:r>
        <w:t>Eingebettete CO2-Intensität: 4,2 tCO2 pro Tonne Aluminium (türkischer Emissionsfaktor gemäß Anhang III CBAM-VO)</w:t>
      </w:r>
    </w:p>
    <w:p>
      <w:pPr>
        <w:jc w:val="left"/>
      </w:pPr>
      <w:r>
        <w:t>Tatsächlich — soweit der russische Aluminiumanteil von RUSAL stammt — wäre der russische Emissionsfaktor (ca. 8,7 tCO2 pro Tonne, da RUSAL vorwiegend Wasserkraft nutzt, aber mit erheblichen prozessbedingten Emissionen) anzusetzen. Die Deklaration des türkischen Faktors führt zu einer Untermeldung der eingebetteten Emissionen und damit potenziell zu einer zu geringen CBAM-Zertifikatspflicht (ab 2026).</w:t>
      </w:r>
    </w:p>
    <w:p>
      <w:pPr>
        <w:jc w:val="left"/>
      </w:pPr>
      <w:r>
        <w:t>Betroffene Meldungen: 11 Verbringungsvorgänge à ca. 18 Tonnen Aluminium = ca. 198 Tonnen Gesamtvolumen. Differenz eingebettete Emissionen: ca. 198 × (8,7 − 4,2) = 891 tCO2. CBAM-Zertifikatspreis aktuell: ca. 62 EUR/tCO2. Potenziell nicht gemeldete CBAM-Pflicht (ab 2026): ca. 55.242 EUR.</w:t>
      </w:r>
    </w:p>
    <w:p>
      <w:pPr>
        <w:pStyle w:val="Heading3"/>
      </w:pPr>
      <w:r>
        <w:rPr>
          <w:rFonts w:ascii="Times New Roman" w:hAnsi="Times New Roman"/>
        </w:rPr>
        <w:t>2.3 Sanktionen bei Fehlmeldungen</w:t>
      </w:r>
    </w:p>
    <w:p>
      <w:pPr>
        <w:jc w:val="left"/>
      </w:pPr>
      <w:r>
        <w:t>Art. 26 VO (EU) 2023/956 sieht bei Verstoß gegen Meldepflichten während der Übergangsphase eine Sanktion von 10–50 EUR je nicht gemeldete Tonne CO2e vor. Bei 891 tCO2e ergibt sich ein Sanktionsrahmen von ca. 8.910 EUR bis 44.550 EUR. Zudem kann nach Art. 26 Abs. 2 die Genehmigung des zugelassenen CBAM-Anmelders (Werkmann) ausgesetzt werden.</w:t>
      </w:r>
    </w:p>
    <w:p/>
    <w:p>
      <w:pPr>
        <w:pStyle w:val="Heading2"/>
      </w:pPr>
      <w:r>
        <w:rPr>
          <w:rFonts w:ascii="Times New Roman" w:hAnsi="Times New Roman"/>
        </w:rPr>
        <w:t>3. EU-Russland-Sanktionen — 19. Sanktionspaket</w:t>
      </w:r>
    </w:p>
    <w:p>
      <w:pPr>
        <w:jc w:val="left"/>
      </w:pPr>
      <w:r>
        <w:t>Das 19. Sanktionspaket der EU gegen Russland (Ratsbeschluss vom 24. Februar 2026, VO (EU) 2026/394, ABl. L 94/1) enthält in Art. 3g:</w:t>
      </w:r>
    </w:p>
    <w:p>
      <w:pPr>
        <w:ind w:left="567"/>
      </w:pPr>
      <w:r>
        <w:rPr>
          <w:i/>
        </w:rPr>
        <w:t>„Es ist verboten, Waren, die in Anhang XXI aufgeführt sind, direkt oder indirekt aus Russland einzuführen oder zu beziehen."</w:t>
      </w:r>
    </w:p>
    <w:p>
      <w:pPr>
        <w:jc w:val="left"/>
      </w:pPr>
      <w:r>
        <w:t>Anhang XXI enthält unter KN 7601 (Rohaluminium) und 7602 (Aluminiumschrott) bestimmte russische Aluminiumprodukte. RUSAL-Produkte sind zwar nicht namentlich in Anhang XXI gelistet, fallen aber unter die Gattungsposition 7601 10 (Nicht legiertes Aluminium), soweit sie aus Russland eingeführt werden.</w:t>
      </w:r>
    </w:p>
    <w:p>
      <w:pPr>
        <w:jc w:val="left"/>
      </w:pPr>
      <w:r>
        <w:t>Werkmann bezieht nicht direkt aus Russland, sondern indirekt über Anadolu Döküm Sanayi (Türkei). Die Frage, ob dies die Sanktionsumgehungsvorschrift des Art. 12b VO (EU) 833/2014 (Sanktionsumgehung) verletzt, ist zu prüfen:</w:t>
      </w:r>
    </w:p>
    <w:p>
      <w:pPr>
        <w:jc w:val="left"/>
      </w:pPr>
      <w:r>
        <w:t>Art. 12b VO (EU) 833/2014 (konsolidierte Fassung, Stand: Februar 2026):</w:t>
      </w:r>
    </w:p>
    <w:p>
      <w:pPr>
        <w:ind w:left="567"/>
      </w:pPr>
      <w:r>
        <w:rPr>
          <w:i/>
        </w:rPr>
        <w:t>„Es ist verboten, sich wissentlich und vorsätzlich an Tätigkeiten zu beteiligen, die die Umgehung der in dieser Verordnung vorgesehenen Verbote bezwecken oder bewirken."</w:t>
      </w:r>
    </w:p>
    <w:p>
      <w:pPr>
        <w:jc w:val="left"/>
      </w:pPr>
      <w:r>
        <w:t>Für eine Umgehung ist subjektiv Vorsatz oder dolus eventualis erforderlich. Werkmann hat keine Kenntnis vom russischen Ursprung gehabt — sofern dies belegbar ist. Zur Belegung: Werkmann muss nachweisen, dass bei der Sorgfaltsprüfung kein Red Flag erkennbar war.</w:t>
      </w:r>
    </w:p>
    <w:p>
      <w:pPr>
        <w:pStyle w:val="Heading3"/>
      </w:pPr>
      <w:r>
        <w:rPr>
          <w:rFonts w:ascii="Times New Roman" w:hAnsi="Times New Roman"/>
        </w:rPr>
        <w:t>3.1 UK SAMLA — Russland-Sanktionen</w:t>
      </w:r>
    </w:p>
    <w:p>
      <w:pPr>
        <w:jc w:val="left"/>
      </w:pPr>
      <w:r>
        <w:t>Das UK Sanctions and Anti-Money Laundering Act 2018 (SAMLA 2018) und die The Russia (Sanctions) (EU Exit) Regulations 2019 (SI 2019/855 i.d.F. der Russia (Sanctions) (EU Exit) (Amendment) (No. 19) Regulations 2026) gelten für UK-Personen und Tätigkeiten mit UK-Bezug. Werkmann Anlagentechnik AG hat keine UK-Niederlassung; jedoch besteht Exportgeschäft nach UK und Zahlungsabwicklung über UK-Korrespondenzbanken. Eine direkte UK-SAMLA-Haftung erscheint unwahrscheinlich, ist aber angesichts der Abkoppelung des UK-Sanktionsrechts von EU-Recht und der eigenständigen britischen Enforcement-Praxis (OFSI: Office of Financial Sanctions Implementation) zu beobachten.</w:t>
      </w:r>
    </w:p>
    <w:p/>
    <w:p>
      <w:pPr>
        <w:pStyle w:val="Heading2"/>
      </w:pPr>
      <w:r>
        <w:rPr>
          <w:rFonts w:ascii="Times New Roman" w:hAnsi="Times New Roman"/>
        </w:rPr>
        <w:t>4. Handlungsempfehlungen</w:t>
      </w:r>
    </w:p>
    <w:p>
      <w:pPr>
        <w:pStyle w:val="ListNumber"/>
      </w:pPr>
      <w:r>
        <w:rPr>
          <w:b/>
        </w:rPr>
        <w:t>Sofortige Rückfrage bei Anadolu Döküm:</w:t>
      </w:r>
      <w:r>
        <w:t xml:space="preserve"> Schriftliche Anforderung eines Materialzertifikats (Mill Certificate) mit Angabe des genauen Ursprungs des Aluminium-Rohlings und der Schmelzanlage.</w:t>
      </w:r>
    </w:p>
    <w:p>
      <w:pPr>
        <w:pStyle w:val="ListNumber"/>
      </w:pPr>
      <w:r>
        <w:rPr>
          <w:b/>
        </w:rPr>
        <w:t>CBAM-Korrekturmeldung:</w:t>
      </w:r>
      <w:r>
        <w:t xml:space="preserve"> Prüfung, ob die 2024er CBAM-Meldungen korrigiert werden müssen (Art. 6 Abs. 4 Durchführungs-VO (EU) 2023/1163). Beratung durch Zolldeklarant Werkmann (Spedition Schenker, Mannheim).</w:t>
      </w:r>
    </w:p>
    <w:p>
      <w:pPr>
        <w:pStyle w:val="ListNumber"/>
      </w:pPr>
      <w:r>
        <w:rPr>
          <w:b/>
        </w:rPr>
        <w:t>Sanktions-Audit Lieferkette:</w:t>
      </w:r>
      <w:r>
        <w:t xml:space="preserve"> Werkmann sollte eine sanktionsrechtliche Due Diligence der gesamten Lieferkette (alle Türkei-Importeure) durchführen, um weitere Risiken zu identifizieren.</w:t>
      </w:r>
    </w:p>
    <w:p>
      <w:pPr>
        <w:pStyle w:val="ListNumber"/>
      </w:pPr>
      <w:r>
        <w:rPr>
          <w:b/>
        </w:rPr>
        <w:t>Lieferantenvertrag anpassen:</w:t>
      </w:r>
      <w:r>
        <w:t xml:space="preserve"> Nachverhandlung des Liefervertrags mit Anadolu Döküm: Vertragsklausel über Garantie russlandfreien Ursprungs aller Rohstoffe.</w:t>
      </w:r>
    </w:p>
    <w:p/>
    <w:p>
      <w:pPr>
        <w:jc w:val="left"/>
      </w:pPr>
      <w:r>
        <w:rPr>
          <w:i/>
        </w:rPr>
        <w:t>Bearbeitung: Ass. Pfaff — Stand: 18.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