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12 — Entwurf: Stellungnahme an das BAFA (Anhörungsschreiben BL-22-4188/26)</w:t>
      </w:r>
    </w:p>
    <w:p>
      <w:pPr>
        <w:jc w:val="left"/>
      </w:pPr>
      <w:r>
        <w:rPr>
          <w:b/>
        </w:rPr>
        <w:t>Aktenzeichen:</w:t>
      </w:r>
      <w:r>
        <w:t xml:space="preserve"> BAFA OWi BL-22-4188/26</w:t>
      </w:r>
    </w:p>
    <w:p>
      <w:pPr>
        <w:jc w:val="left"/>
      </w:pPr>
      <w:r>
        <w:rPr>
          <w:b/>
        </w:rPr>
        <w:t>Dokument:</w:t>
      </w:r>
      <w:r>
        <w:t xml:space="preserve"> Entwurf der Stellungnahme zur Anhörung — wird als DOCX abgefasst (docx/stellungnahme_bafa_owi.docx)</w:t>
      </w:r>
    </w:p>
    <w:p>
      <w:pPr>
        <w:jc w:val="left"/>
      </w:pPr>
      <w:r>
        <w:rPr>
          <w:b/>
        </w:rPr>
        <w:t>Frist:</w:t>
      </w:r>
      <w:r>
        <w:t xml:space="preserve"> 30. April 2026</w:t>
      </w:r>
    </w:p>
    <w:p>
      <w:pPr>
        <w:jc w:val="left"/>
      </w:pPr>
      <w:r>
        <w:rPr>
          <w:b/>
        </w:rPr>
        <w:t>Erstellt:</w:t>
      </w:r>
      <w:r>
        <w:t xml:space="preserve"> 22. April 2026</w:t>
      </w:r>
    </w:p>
    <w:p>
      <w:pPr>
        <w:jc w:val="left"/>
      </w:pPr>
      <w:r>
        <w:rPr>
          <w:b/>
        </w:rPr>
        <w:t>Status:</w:t>
      </w:r>
      <w:r>
        <w:t xml:space="preserve"> Entwurf zur Abstimmung mit Mandant (Stand: Version 2.3)</w:t>
      </w:r>
    </w:p>
    <w:p/>
    <w:p>
      <w:pPr>
        <w:pStyle w:val="Heading2"/>
      </w:pPr>
      <w:r>
        <w:rPr>
          <w:rFonts w:ascii="Times New Roman" w:hAnsi="Times New Roman"/>
        </w:rPr>
        <w:t>1. Vorbemerkungen zum Schriftsatz</w:t>
      </w:r>
    </w:p>
    <w:p>
      <w:pPr>
        <w:jc w:val="left"/>
      </w:pPr>
      <w:r>
        <w:t>Der vollständige Schriftsatz ist als DOCX-Datei in der Anlage abgelegt (docx/stellungnahme_bafa_owi.docx). Dieses Aktenstück enthält eine Zusammenfassung des Inhalts, der juristischen Argumentation und der strategischen Ausrichtung des Schriftsatzes.</w:t>
      </w:r>
    </w:p>
    <w:p/>
    <w:p>
      <w:pPr>
        <w:pStyle w:val="Heading2"/>
      </w:pPr>
      <w:r>
        <w:rPr>
          <w:rFonts w:ascii="Times New Roman" w:hAnsi="Times New Roman"/>
        </w:rPr>
        <w:t>2. Gliederung des Schriftsatzes</w:t>
      </w:r>
    </w:p>
    <w:p>
      <w:pPr>
        <w:pStyle w:val="Heading3"/>
      </w:pPr>
      <w:r>
        <w:rPr>
          <w:rFonts w:ascii="Times New Roman" w:hAnsi="Times New Roman"/>
        </w:rPr>
        <w:t>2.1 Einleitung und Mandatsangaben</w:t>
      </w:r>
    </w:p>
    <w:p>
      <w:pPr>
        <w:jc w:val="left"/>
      </w:pPr>
      <w:r>
        <w:t>Der Schriftsatz beginnt mit der förmlichen Mandatsanzeige (RAin Dr. Boekenkamp ist bevollmächtigt), der Benennung des Aktenzeichens und der Bezugnahme auf das BAFA-Anhörungsschreiben vom 03.03.2026.</w:t>
      </w:r>
    </w:p>
    <w:p>
      <w:pPr>
        <w:pStyle w:val="Heading3"/>
      </w:pPr>
      <w:r>
        <w:rPr>
          <w:rFonts w:ascii="Times New Roman" w:hAnsi="Times New Roman"/>
        </w:rPr>
        <w:t>2.2 Kernargument 1 — Keine Genehmigungspflicht nach Anhang I</w:t>
      </w:r>
    </w:p>
    <w:p>
      <w:pPr>
        <w:jc w:val="left"/>
      </w:pPr>
      <w:r>
        <w:t>Der MFR-3400X ist in der gelieferten Ausführung nicht in Anhang I der Dual-Use-VO (EU) 2021/821 gelistet. Die technische Analyse (Aktenstück 03) und das Sachverständigengutachten Dr. Grebenstein belegen, dass die Kategorie 2B350.g nicht erfüllt ist, da der Chromanteil von Hastelloy C-276 (ca. 16 %) unter dem Schwellenwert von 20 % liegt. Eine Listungspflicht besteht daher nicht; eine Genehmigung war nicht erforderlich.</w:t>
      </w:r>
    </w:p>
    <w:p>
      <w:pPr>
        <w:pStyle w:val="Heading3"/>
      </w:pPr>
      <w:r>
        <w:rPr>
          <w:rFonts w:ascii="Times New Roman" w:hAnsi="Times New Roman"/>
        </w:rPr>
        <w:t>2.3 Kernargument 2 — Art-4-Pflicht nicht verletzt (kein Vorsatz/keine Leichtfertigkeit)</w:t>
      </w:r>
    </w:p>
    <w:p>
      <w:pPr>
        <w:jc w:val="left"/>
      </w:pPr>
      <w:r>
        <w:t>Werkmann hat die interne Exportkontrollprüfung (Aktenstück 02, Anlage 02/D) ordnungsgemäß durchgeführt, eine Endverbleibserklärung (EUC) eingeholt und keine positiven Kenntnisse von der Weiterleitung nach Iran gehabt. Ein Vorsatz im Sinne des § 18 AWG scheidet aus. Leichtfertigkeit — als Sorgfaltspflichtverletzung — kann nicht angenommen werden, da die Handelskette (Spengler Engineering AG, Schweizer Unternehmen mit nachgewiesenen Vortransaktionen) keine zwingenden Red Flags aufwies, die eine vertiefte Nachforschung hätten gebieten müssen.</w:t>
      </w:r>
    </w:p>
    <w:p>
      <w:pPr>
        <w:pStyle w:val="Heading3"/>
      </w:pPr>
      <w:r>
        <w:rPr>
          <w:rFonts w:ascii="Times New Roman" w:hAnsi="Times New Roman"/>
        </w:rPr>
        <w:t>2.4 Kernargument 3 — Kooperation und ICP-Maßnahmen als Milderungsgründe</w:t>
      </w:r>
    </w:p>
    <w:p>
      <w:pPr>
        <w:jc w:val="left"/>
      </w:pPr>
      <w:r>
        <w:t>Werkmann hat unmittelbar nach Bekanntwerden des Sachverhalts (interner Hinweis Anfang Februar 2026) alle zumutbaren Aufklärungsmaßnahmen eingeleitet: Dokumentensicherung, interne Revision, Beauftragung von KPMG Law, Mandatierung der Kanzlei, umfassende ICP-Überarbeitung. Diese Maßnahmen belegen den guten Willen der Mandantin und sind gemäß § 17 Abs. 3 OWiG mildernd zu berücksichtigen.</w:t>
      </w:r>
    </w:p>
    <w:p>
      <w:pPr>
        <w:pStyle w:val="Heading3"/>
      </w:pPr>
      <w:r>
        <w:rPr>
          <w:rFonts w:ascii="Times New Roman" w:hAnsi="Times New Roman"/>
        </w:rPr>
        <w:t>2.5 Hilfsweise: Angemessene Bußgeldhöhe</w:t>
      </w:r>
    </w:p>
    <w:p>
      <w:pPr>
        <w:jc w:val="left"/>
      </w:pPr>
      <w:r>
        <w:t>Sollte das BAFA gleichwohl eine Ordnungswidrigkeit feststellen, wird hilfsweise beantragt, die Geldbuße auf das untere Drittel des gesetzlichen Rahmens zu beschränken. Begründung: kein wirtschaftlicher Vorteil jenseits des Kaufpreises (285.000 EUR für drei Einheiten → kein Zuschlagsgewinn); keine Wiederholungstat; keine strafrechtliche Verurteilung; vollständige Kooperation.</w:t>
      </w:r>
    </w:p>
    <w:p/>
    <w:p>
      <w:pPr>
        <w:pStyle w:val="Heading2"/>
      </w:pPr>
      <w:r>
        <w:rPr>
          <w:rFonts w:ascii="Times New Roman" w:hAnsi="Times New Roman"/>
        </w:rPr>
        <w:t>3. Anlagenverzeichnis zum Schriftsatz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Vollmacht Dr. Boekenkamp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Notariell beglaubigte Vollmacht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Technisches Datenblatt MFR-3400X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Werkmann Doc. TDB-MFR-3400X-Rev.4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Gutachten Dr. Grebenstein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Sachverständigengutachten Listungsanalyse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Exportkontrollprüfung vom 02.07.2024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Werkmann-Intern SOP-EK-001 Prüfprotokoll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End-User Certificate Spengler Engineering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Original EUC 14.06.2024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KPMG Law ICP-Audit-Bericht (Kurzfassung)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KPMG Law,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ICP-Überarbeitungsplan mit Umsetzungsstand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Werkmann CCO,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Mitarbeiterschulung-Nachweis (neu ab März 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HR-Schulungsprotokoll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Abstimmungsprotokoll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Änderung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Abgestimmt mit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Ersterstelllung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Einarbeitung Sachverständigengutachten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Grebenstein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ICP-Abschnitt ergänzt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KPMG Law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Rechtsgrundlagen aktualisiert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Ass. Pfaff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Letzte Redaktion vor Mandantenabstimmung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Boekenkamp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 (geplant)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Finale Fassung nach Mandantengespräch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Werkmann-Lottermann</w:t>
            </w:r>
          </w:p>
        </w:tc>
      </w:tr>
    </w:tbl>
    <w:p/>
    <w:p>
      <w:pPr>
        <w:jc w:val="left"/>
      </w:pPr>
      <w:r>
        <w:rPr>
          <w:i/>
        </w:rPr>
        <w:t>Entwurfsstatus — nicht versenden bis Freigabe durch Mandant und Dr. Boekenkamp.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