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15 — TianYuan Due Diligence: SASAC-Struktur und Sicherheitsrisikobewertung</w:t>
      </w:r>
    </w:p>
    <w:p>
      <w:pPr>
        <w:jc w:val="left"/>
      </w:pPr>
      <w:r>
        <w:rPr>
          <w:b/>
        </w:rPr>
        <w:t>Aktenzeichen:</w:t>
      </w:r>
      <w:r>
        <w:t xml:space="preserve"> BMWK 13-IPR-66/2026</w:t>
      </w:r>
    </w:p>
    <w:p>
      <w:pPr>
        <w:jc w:val="left"/>
      </w:pPr>
      <w:r>
        <w:rPr>
          <w:b/>
        </w:rPr>
        <w:t>Erstellt:</w:t>
      </w:r>
      <w:r>
        <w:t xml:space="preserve"> 05. Mai 2026</w:t>
      </w:r>
    </w:p>
    <w:p>
      <w:pPr>
        <w:jc w:val="left"/>
      </w:pPr>
      <w:r>
        <w:rPr>
          <w:b/>
        </w:rPr>
        <w:t>Bearbeitung:</w:t>
      </w:r>
      <w:r>
        <w:t xml:space="preserve"> Ass. Klaus Wiethölter; Koordination Dr. Boekenkamp</w:t>
      </w:r>
    </w:p>
    <w:p>
      <w:pPr>
        <w:jc w:val="left"/>
      </w:pPr>
      <w:r>
        <w:rPr>
          <w:b/>
        </w:rPr>
        <w:t>Externes Büro:</w:t>
      </w:r>
      <w:r>
        <w:t xml:space="preserve"> Pottwitz Stinkmorchel &amp; Eulenspiegel LLP, Peking/Shanghai (Partner: Frau Dr. Edelgund Pferchner)</w:t>
      </w:r>
    </w:p>
    <w:p/>
    <w:p>
      <w:pPr>
        <w:pStyle w:val="Heading2"/>
      </w:pPr>
      <w:r>
        <w:rPr>
          <w:rFonts w:ascii="Times New Roman" w:hAnsi="Times New Roman"/>
        </w:rPr>
        <w:t>1. Unternehmensstruktur TianYuan Industrial Group</w:t>
      </w:r>
    </w:p>
    <w:p>
      <w:pPr>
        <w:pStyle w:val="Heading3"/>
      </w:pPr>
      <w:r>
        <w:rPr>
          <w:rFonts w:ascii="Times New Roman" w:hAnsi="Times New Roman"/>
        </w:rPr>
        <w:t>1.1 Beteiligungsstruktur (vereinfacht)</w:t>
      </w:r>
    </w:p>
    <w:p>
      <w:pPr>
        <w:jc w:val="left"/>
      </w:pPr>
      <w:r>
        <w:t>Die TianYuan Industrial Group Co., Ltd. ist eine börsennotierte A-Aktie-Gesellschaft (SZSE: 002741). Die Aktionärsstruktur per 31.12.2025 (laut Jahresbericht 2025, auf der SZSE-Plattform veröffentlicht):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Aktionär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Anteil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TianYuan Holdings Co., Ltd. (Großaktionär, Suzhou)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38,2 %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Suzhou State Assets Management Co., Ltd. (staatliche Beteiligung via Suzhou Municipal Government)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14,7 %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Jiangsu Provincial Social Security Fund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7,3 %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Free Float (institutionelle und private Anleger)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39,8 %</w:t>
            </w:r>
          </w:p>
        </w:tc>
      </w:tr>
    </w:tbl>
    <w:p>
      <w:pPr>
        <w:jc w:val="left"/>
      </w:pPr>
      <w:r>
        <w:t>TianYuan Holdings Co., Ltd. (Muttergesellschaft) hält 100 % durch eine Privatperson: Lin Zhong-Xiang (Gründer, geb. 1962, Suzhou). Eine direkte SASAC-Bundesbeteiligung (staatliche Zentralbehörde) besteht nicht; jedoch ist Suzhou State Assets Management Co., Ltd. eine Einheit der Stadtverwaltung Suzhou (Municipal Level SASAC). Diese stadtstaatliche Beteiligung begründet eine mittelbare staatliche Kontrolle.</w:t>
      </w:r>
    </w:p>
    <w:p>
      <w:pPr>
        <w:pStyle w:val="Heading3"/>
      </w:pPr>
      <w:r>
        <w:rPr>
          <w:rFonts w:ascii="Times New Roman" w:hAnsi="Times New Roman"/>
        </w:rPr>
        <w:t>1.2 Bewertung durch BMWK-Referat</w:t>
      </w:r>
    </w:p>
    <w:p>
      <w:pPr>
        <w:jc w:val="left"/>
      </w:pPr>
      <w:r>
        <w:t>Das BMWK-Referat IB4 hat in einem Zwischenbescheid vom 10. April 2026 darauf hingewiesen, dass die indirekte staatliche Beteiligung (14,7 % über Suzhou Municipal SASAC) im Rahmen der EU-FDI-Screening-Verordnung (VO (EU) 2019/452, Art. 4 lit. d: „staatlich kontrollierte ausländische Investoren") als relevanter Faktor berücksichtigt wird. Eine Direktkontrolle im Sinne einer Stimmrechtsmehrheit besteht nicht, aber eine informelle Einflussnahme kann nicht ausgeschlossen werden.</w:t>
      </w:r>
    </w:p>
    <w:p/>
    <w:p>
      <w:pPr>
        <w:pStyle w:val="Heading2"/>
      </w:pPr>
      <w:r>
        <w:rPr>
          <w:rFonts w:ascii="Times New Roman" w:hAnsi="Times New Roman"/>
        </w:rPr>
        <w:t>2. Sicherheitsrisikobewertung</w:t>
      </w:r>
    </w:p>
    <w:p>
      <w:pPr>
        <w:pStyle w:val="Heading3"/>
      </w:pPr>
      <w:r>
        <w:rPr>
          <w:rFonts w:ascii="Times New Roman" w:hAnsi="Times New Roman"/>
        </w:rPr>
        <w:t>2.1 Technologietransfer-Risiko</w:t>
      </w:r>
    </w:p>
    <w:p>
      <w:pPr>
        <w:jc w:val="left"/>
      </w:pPr>
      <w:r>
        <w:t>Hauptrisiko aus BMWK-Perspektive: TianYuan könnte nach dem Erwerb von 28 % der Werkmann-Anteile Zugang zu sensiblen Technologien erhalten (MFR-Steuerungssoftware SmartFlow, Dual-Use-relevante Konstruktionszeichnungen), die bei staatlichen chinesischen Institutionen oder dem IRGC-Äquivalent in China (PLASSF — People's Liberation Army Strategic Support Force) landen könnten.</w:t>
      </w:r>
    </w:p>
    <w:p>
      <w:pPr>
        <w:jc w:val="left"/>
      </w:pPr>
      <w:r>
        <w:t>Erschwerend: Das laufende BAFA OWi-Verfahren belegt, dass die Werkmann-Technologie (MFR-3400X) bereits in einem Dual-Use-Kontext eingesetzt wurde. Eine Beteiligung eines chinesischen Investors erhöht das Proliferationsrisiko.</w:t>
      </w:r>
    </w:p>
    <w:p>
      <w:pPr>
        <w:pStyle w:val="Heading3"/>
      </w:pPr>
      <w:r>
        <w:rPr>
          <w:rFonts w:ascii="Times New Roman" w:hAnsi="Times New Roman"/>
        </w:rPr>
        <w:t>2.2 Gegenmaßnahmen (Schutzmaßnahmen des BMWK)</w:t>
      </w:r>
    </w:p>
    <w:p>
      <w:pPr>
        <w:jc w:val="left"/>
      </w:pPr>
      <w:r>
        <w:t>Das BMWK kann im Rahmen der Freigabeentscheidung nach § 58 AWV folgende Auflagen festsetzen:</w:t>
      </w:r>
    </w:p>
    <w:p>
      <w:pPr>
        <w:pStyle w:val="ListBullet"/>
      </w:pPr>
      <w:r>
        <w:rPr>
          <w:b/>
        </w:rPr>
        <w:t>Information Barrier:</w:t>
      </w:r>
      <w:r>
        <w:t xml:space="preserve"> Kein Zugang des TianYuan-Vertreters zu Exportkontroll-relevanten Technologien ohne BAFA-Freigabe</w:t>
      </w:r>
    </w:p>
    <w:p>
      <w:pPr>
        <w:pStyle w:val="ListBullet"/>
      </w:pPr>
      <w:r>
        <w:rPr>
          <w:b/>
        </w:rPr>
        <w:t>Board Representation:</w:t>
      </w:r>
      <w:r>
        <w:t xml:space="preserve"> Recht auf Entsendung eines BMWK-nominierten Aufsichtsratsmitglieds als Beobachter</w:t>
      </w:r>
    </w:p>
    <w:p>
      <w:pPr>
        <w:pStyle w:val="ListBullet"/>
      </w:pPr>
      <w:r>
        <w:rPr>
          <w:b/>
        </w:rPr>
        <w:t>Technology Protection Agreement (TPA):</w:t>
      </w:r>
      <w:r>
        <w:t xml:space="preserve"> Verbot des Transfers von Technologien, die der Exportkontrolle unterliegen, in Drittstaaten</w:t>
      </w:r>
    </w:p>
    <w:p>
      <w:pPr>
        <w:pStyle w:val="ListBullet"/>
      </w:pPr>
      <w:r>
        <w:rPr>
          <w:b/>
        </w:rPr>
        <w:t>Golden Share:</w:t>
      </w:r>
      <w:r>
        <w:t xml:space="preserve"> Staatliche Veto-Rechte bei bestimmten strategischen Entscheidungen (Veräußerung von IP, Verlagerung von F&amp;E)</w:t>
      </w:r>
    </w:p>
    <w:p/>
    <w:p>
      <w:pPr>
        <w:pStyle w:val="Heading2"/>
      </w:pPr>
      <w:r>
        <w:rPr>
          <w:rFonts w:ascii="Times New Roman" w:hAnsi="Times New Roman"/>
        </w:rPr>
        <w:t>3. Verhandlungsposition Werkmann</w:t>
      </w:r>
    </w:p>
    <w:p>
      <w:pPr>
        <w:jc w:val="left"/>
      </w:pPr>
      <w:r>
        <w:t>Die Werkmann-Altgesellschafter sind an einem Verkauf interessiert, vor allem um die Expansion in den asiatischen Markt (China, Japan, Südkorea) zu finanzieren und das F&amp;E-Budget für die nächste MFR-Generation (MFR-4000X, geplant 2027) zu stärken.</w:t>
      </w:r>
    </w:p>
    <w:p>
      <w:pPr>
        <w:jc w:val="left"/>
      </w:pPr>
      <w:r>
        <w:t>Empfehlung der Kanzlei: Proaktives Anbieten von Schutzmaßnahmen (TPA, Information Barrier, Board Observer) gegenüber dem BMWK noch vor Erlass einer formellen Auflage. Dies gibt den Altgesellschaftern mehr Verhandlungsmacht und beschleunigt das Prüfverfahren.</w:t>
      </w:r>
    </w:p>
    <w:p/>
    <w:p>
      <w:pPr>
        <w:pStyle w:val="Heading2"/>
      </w:pPr>
      <w:r>
        <w:rPr>
          <w:rFonts w:ascii="Times New Roman" w:hAnsi="Times New Roman"/>
        </w:rPr>
        <w:t>4. Zeitplan Investitionsprüfung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BMWK-Eröffnungsschreiben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Einreichung Unterlagen Werkmann/TianYuan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15.05.2026 (geplant)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BMWK-Hauptprüfung (§ 57 AWV, 60-Tage-Frist)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15.07.2026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BMWK-Freigabe (mit oder ohne Auflagen)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erwartet 3. Quartal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Signing der Transaktion (vorbehaltlich Freigabe)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 Quartal 2026</w:t>
            </w:r>
          </w:p>
        </w:tc>
      </w:tr>
    </w:tbl>
    <w:p/>
    <w:p>
      <w:pPr>
        <w:jc w:val="left"/>
      </w:pPr>
      <w:r>
        <w:rPr>
          <w:i/>
        </w:rPr>
        <w:t>Bearbeitung: Ass. Wiethölter / Frau Dr. Edelgund Pferchner (Pottwitz Stinkmorchel) — Stand: 10. Mai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