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18 — OECD-Anti-Korruptions-Selbstprüfung und FCPA Voluntary Disclosure</w:t>
      </w:r>
    </w:p>
    <w:p>
      <w:pPr>
        <w:jc w:val="left"/>
      </w:pPr>
      <w:r>
        <w:rPr>
          <w:b/>
        </w:rPr>
        <w:t>Aktenzeichen:</w:t>
      </w:r>
      <w:r>
        <w:t xml:space="preserve"> (intern) WAT-KOR-2026/02</w:t>
      </w:r>
    </w:p>
    <w:p>
      <w:pPr>
        <w:jc w:val="left"/>
      </w:pPr>
      <w:r>
        <w:rPr>
          <w:b/>
        </w:rPr>
        <w:t>Erstellt:</w:t>
      </w:r>
      <w:r>
        <w:t xml:space="preserve"> 22. Mai 2026</w:t>
      </w:r>
    </w:p>
    <w:p>
      <w:pPr>
        <w:jc w:val="left"/>
      </w:pPr>
      <w:r>
        <w:rPr>
          <w:b/>
        </w:rPr>
        <w:t>Bearbeitung:</w:t>
      </w:r>
      <w:r>
        <w:t xml:space="preserve"> RAin Tamara Goller-Neuss; Brösel Holzapfel &amp; Partner Washington (FCPA-Aspekte)</w:t>
      </w:r>
    </w:p>
    <w:p/>
    <w:p>
      <w:pPr>
        <w:pStyle w:val="Heading2"/>
      </w:pPr>
      <w:r>
        <w:rPr>
          <w:rFonts w:ascii="Times New Roman" w:hAnsi="Times New Roman"/>
        </w:rPr>
        <w:t>1. OECD-Rahmenwerk und Selbstprüfung</w:t>
      </w:r>
    </w:p>
    <w:p>
      <w:pPr>
        <w:pStyle w:val="Heading3"/>
      </w:pPr>
      <w:r>
        <w:rPr>
          <w:rFonts w:ascii="Times New Roman" w:hAnsi="Times New Roman"/>
        </w:rPr>
        <w:t>1.1 OECD-Übereinkommen über die Bekämpfung der Bestechung ausländischer Amtsträger</w:t>
      </w:r>
    </w:p>
    <w:p>
      <w:pPr>
        <w:jc w:val="left"/>
      </w:pPr>
      <w:r>
        <w:t>Das OECD-Übereinkommen (Convention on Combating Bribery of Foreign Public Officials in International Business Transactions) vom 17. Dezember 1997 (in Kraft getreten für Deutschland: 15. Februar 1999) verpflichtet Deutschland zur Kriminalisierung der Bestechung ausländischer Amtsträger. Umgesetzt durch:</w:t>
      </w:r>
    </w:p>
    <w:p>
      <w:pPr>
        <w:pStyle w:val="ListBullet"/>
      </w:pPr>
      <w:r>
        <w:t>Gesetz zu dem OECD-Übereinkommen (IntBestG, BGBl. II 1998, S. 2327)</w:t>
      </w:r>
    </w:p>
    <w:p>
      <w:pPr>
        <w:pStyle w:val="ListBullet"/>
      </w:pPr>
      <w:r>
        <w:t>§ 335a StGB (Bestechlichkeit und Bestechung im geschäftlichen Verkehr in internationalen Fällen)</w:t>
      </w:r>
    </w:p>
    <w:p>
      <w:pPr>
        <w:pStyle w:val="ListBullet"/>
      </w:pPr>
      <w:r>
        <w:t>§ 334 StGB i.V.m. § 335 Abs. 2 Nr. 3 StGB (Besonders schwere Fälle der Bestechung)</w:t>
      </w:r>
    </w:p>
    <w:p>
      <w:pPr>
        <w:jc w:val="left"/>
      </w:pPr>
      <w:r>
        <w:t>Die OECD veröffentlicht regelmäßig Country Reviews zur Umsetzung des Übereinkommens. Deutschland wurde zuletzt 2020 geprüft (Phase 4 Review); Schwächen wurden insbesondere bei der Verfolgungspraxis im Auslandskorruptionsbereich festgestellt.</w:t>
      </w:r>
    </w:p>
    <w:p>
      <w:pPr>
        <w:pStyle w:val="Heading3"/>
      </w:pPr>
      <w:r>
        <w:rPr>
          <w:rFonts w:ascii="Times New Roman" w:hAnsi="Times New Roman"/>
        </w:rPr>
        <w:t>1.2 Werkmann-Selbstprüfungs-Checkliste (OECD-basiert)</w:t>
      </w:r>
    </w:p>
    <w:p>
      <w:pPr>
        <w:jc w:val="left"/>
      </w:pPr>
      <w:r>
        <w:t>Die vollständige OECD-Korruptions-Selbstprüf-Checkliste ist als PDF verfügbar (pdfs/oecd_selbstpruef_checkliste.pdf). Kernpunkte der Selbstprüfung: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Prüfkriterium</w:t>
            </w:r>
          </w:p>
        </w:tc>
        <w:tc>
          <w:tcPr>
            <w:tcW w:type="dxa" w:w="3024"/>
          </w:tcPr>
          <w:p>
            <w:r>
              <w:rPr>
                <w:rFonts w:ascii="Times New Roman" w:hAnsi="Times New Roman"/>
                <w:b/>
                <w:sz w:val="20"/>
              </w:rPr>
              <w:t>Ergebnis</w:t>
            </w:r>
          </w:p>
        </w:tc>
        <w:tc>
          <w:tcPr>
            <w:tcW w:type="dxa" w:w="3024"/>
          </w:tcPr>
          <w:p>
            <w:r>
              <w:rPr>
                <w:rFonts w:ascii="Times New Roman" w:hAnsi="Times New Roman"/>
                <w:b/>
                <w:sz w:val="20"/>
              </w:rPr>
              <w:t>Handlungsbedarf</w:t>
            </w:r>
          </w:p>
        </w:tc>
      </w:tr>
      <w:tr>
        <w:tc>
          <w:tcPr>
            <w:tcW w:type="dxa" w:w="3024"/>
          </w:tcPr>
          <w:p>
            <w:r>
              <w:rPr>
                <w:rFonts w:ascii="Times New Roman" w:hAnsi="Times New Roman"/>
                <w:sz w:val="20"/>
              </w:rPr>
              <w:t>Verhaltenskodex (Code of Conduct) vorhanden?</w:t>
            </w:r>
          </w:p>
        </w:tc>
        <w:tc>
          <w:tcPr>
            <w:tcW w:type="dxa" w:w="3024"/>
          </w:tcPr>
          <w:p>
            <w:r>
              <w:rPr>
                <w:rFonts w:ascii="Times New Roman" w:hAnsi="Times New Roman"/>
                <w:sz w:val="20"/>
              </w:rPr>
              <w:t>Ja (Stand: 2018, veraltet)</w:t>
            </w:r>
          </w:p>
        </w:tc>
        <w:tc>
          <w:tcPr>
            <w:tcW w:type="dxa" w:w="3024"/>
          </w:tcPr>
          <w:p>
            <w:r>
              <w:rPr>
                <w:rFonts w:ascii="Times New Roman" w:hAnsi="Times New Roman"/>
                <w:sz w:val="20"/>
              </w:rPr>
              <w:t>Aktualisierung erforderlich</w:t>
            </w:r>
          </w:p>
        </w:tc>
      </w:tr>
      <w:tr>
        <w:tc>
          <w:tcPr>
            <w:tcW w:type="dxa" w:w="3024"/>
          </w:tcPr>
          <w:p>
            <w:r>
              <w:rPr>
                <w:rFonts w:ascii="Times New Roman" w:hAnsi="Times New Roman"/>
                <w:sz w:val="20"/>
              </w:rPr>
              <w:t>Anti-Korruptionsrichtlinie vorhanden?</w:t>
            </w:r>
          </w:p>
        </w:tc>
        <w:tc>
          <w:tcPr>
            <w:tcW w:type="dxa" w:w="3024"/>
          </w:tcPr>
          <w:p>
            <w:r>
              <w:rPr>
                <w:rFonts w:ascii="Times New Roman" w:hAnsi="Times New Roman"/>
                <w:sz w:val="20"/>
              </w:rPr>
              <w:t>Ja (2019, überarbeitungsbedürftig)</w:t>
            </w:r>
          </w:p>
        </w:tc>
        <w:tc>
          <w:tcPr>
            <w:tcW w:type="dxa" w:w="3024"/>
          </w:tcPr>
          <w:p>
            <w:r>
              <w:rPr>
                <w:rFonts w:ascii="Times New Roman" w:hAnsi="Times New Roman"/>
                <w:sz w:val="20"/>
              </w:rPr>
              <w:t>Überarbeitung bis 30.09.2026</w:t>
            </w:r>
          </w:p>
        </w:tc>
      </w:tr>
      <w:tr>
        <w:tc>
          <w:tcPr>
            <w:tcW w:type="dxa" w:w="3024"/>
          </w:tcPr>
          <w:p>
            <w:r>
              <w:rPr>
                <w:rFonts w:ascii="Times New Roman" w:hAnsi="Times New Roman"/>
                <w:sz w:val="20"/>
              </w:rPr>
              <w:t>Schulungen für Auslandsvertreter?</w:t>
            </w:r>
          </w:p>
        </w:tc>
        <w:tc>
          <w:tcPr>
            <w:tcW w:type="dxa" w:w="3024"/>
          </w:tcPr>
          <w:p>
            <w:r>
              <w:rPr>
                <w:rFonts w:ascii="Times New Roman" w:hAnsi="Times New Roman"/>
                <w:sz w:val="20"/>
              </w:rPr>
              <w:t>Nein — nicht durchgeführt</w:t>
            </w:r>
          </w:p>
        </w:tc>
        <w:tc>
          <w:tcPr>
            <w:tcW w:type="dxa" w:w="3024"/>
          </w:tcPr>
          <w:p>
            <w:r>
              <w:rPr>
                <w:rFonts w:ascii="Times New Roman" w:hAnsi="Times New Roman"/>
                <w:sz w:val="20"/>
              </w:rPr>
              <w:t>Pflichtschulung einzuführen</w:t>
            </w:r>
          </w:p>
        </w:tc>
      </w:tr>
      <w:tr>
        <w:tc>
          <w:tcPr>
            <w:tcW w:type="dxa" w:w="3024"/>
          </w:tcPr>
          <w:p>
            <w:r>
              <w:rPr>
                <w:rFonts w:ascii="Times New Roman" w:hAnsi="Times New Roman"/>
                <w:sz w:val="20"/>
              </w:rPr>
              <w:t>Due Diligence bei HV-Beauftragung Al-Quwairy?</w:t>
            </w:r>
          </w:p>
        </w:tc>
        <w:tc>
          <w:tcPr>
            <w:tcW w:type="dxa" w:w="3024"/>
          </w:tcPr>
          <w:p>
            <w:r>
              <w:rPr>
                <w:rFonts w:ascii="Times New Roman" w:hAnsi="Times New Roman"/>
                <w:sz w:val="20"/>
              </w:rPr>
              <w:t>Eingeschränkt (Routinecheck, kein tiefes Anti-Korruptions-Screening)</w:t>
            </w:r>
          </w:p>
        </w:tc>
        <w:tc>
          <w:tcPr>
            <w:tcW w:type="dxa" w:w="3024"/>
          </w:tcPr>
          <w:p>
            <w:r>
              <w:rPr>
                <w:rFonts w:ascii="Times New Roman" w:hAnsi="Times New Roman"/>
                <w:sz w:val="20"/>
              </w:rPr>
              <w:t>Verschärfte DD-Prozesse</w:t>
            </w:r>
          </w:p>
        </w:tc>
      </w:tr>
      <w:tr>
        <w:tc>
          <w:tcPr>
            <w:tcW w:type="dxa" w:w="3024"/>
          </w:tcPr>
          <w:p>
            <w:r>
              <w:rPr>
                <w:rFonts w:ascii="Times New Roman" w:hAnsi="Times New Roman"/>
                <w:sz w:val="20"/>
              </w:rPr>
              <w:t>Drittpartei-Audit der HV-Zahlungen?</w:t>
            </w:r>
          </w:p>
        </w:tc>
        <w:tc>
          <w:tcPr>
            <w:tcW w:type="dxa" w:w="3024"/>
          </w:tcPr>
          <w:p>
            <w:r>
              <w:rPr>
                <w:rFonts w:ascii="Times New Roman" w:hAnsi="Times New Roman"/>
                <w:sz w:val="20"/>
              </w:rPr>
              <w:t>Nein</w:t>
            </w:r>
          </w:p>
        </w:tc>
        <w:tc>
          <w:tcPr>
            <w:tcW w:type="dxa" w:w="3024"/>
          </w:tcPr>
          <w:p>
            <w:r>
              <w:rPr>
                <w:rFonts w:ascii="Times New Roman" w:hAnsi="Times New Roman"/>
                <w:sz w:val="20"/>
              </w:rPr>
              <w:t>Jährliche Audit-Pflicht einführen</w:t>
            </w:r>
          </w:p>
        </w:tc>
      </w:tr>
      <w:tr>
        <w:tc>
          <w:tcPr>
            <w:tcW w:type="dxa" w:w="3024"/>
          </w:tcPr>
          <w:p>
            <w:r>
              <w:rPr>
                <w:rFonts w:ascii="Times New Roman" w:hAnsi="Times New Roman"/>
                <w:sz w:val="20"/>
              </w:rPr>
              <w:t>Meldekanal (Whistle-Blower-System)?</w:t>
            </w:r>
          </w:p>
        </w:tc>
        <w:tc>
          <w:tcPr>
            <w:tcW w:type="dxa" w:w="3024"/>
          </w:tcPr>
          <w:p>
            <w:r>
              <w:rPr>
                <w:rFonts w:ascii="Times New Roman" w:hAnsi="Times New Roman"/>
                <w:sz w:val="20"/>
              </w:rPr>
              <w:t>Seit 2022 (HinSchG-konform) vorhanden</w:t>
            </w:r>
          </w:p>
        </w:tc>
        <w:tc>
          <w:tcPr>
            <w:tcW w:type="dxa" w:w="3024"/>
          </w:tcPr>
          <w:p>
            <w:r>
              <w:rPr>
                <w:rFonts w:ascii="Times New Roman" w:hAnsi="Times New Roman"/>
                <w:sz w:val="20"/>
              </w:rPr>
              <w:t>Funktioniert; keine Korruptionsmeldung</w:t>
            </w:r>
          </w:p>
        </w:tc>
      </w:tr>
      <w:tr>
        <w:tc>
          <w:tcPr>
            <w:tcW w:type="dxa" w:w="3024"/>
          </w:tcPr>
          <w:p>
            <w:r>
              <w:rPr>
                <w:rFonts w:ascii="Times New Roman" w:hAnsi="Times New Roman"/>
                <w:sz w:val="20"/>
              </w:rPr>
              <w:t>Konsequenzen bei Verstößen definiert?</w:t>
            </w:r>
          </w:p>
        </w:tc>
        <w:tc>
          <w:tcPr>
            <w:tcW w:type="dxa" w:w="3024"/>
          </w:tcPr>
          <w:p>
            <w:r>
              <w:rPr>
                <w:rFonts w:ascii="Times New Roman" w:hAnsi="Times New Roman"/>
                <w:sz w:val="20"/>
              </w:rPr>
              <w:t>Teilweise im Arbeitsvertrag</w:t>
            </w:r>
          </w:p>
        </w:tc>
        <w:tc>
          <w:tcPr>
            <w:tcW w:type="dxa" w:w="3024"/>
          </w:tcPr>
          <w:p>
            <w:r>
              <w:rPr>
                <w:rFonts w:ascii="Times New Roman" w:hAnsi="Times New Roman"/>
                <w:sz w:val="20"/>
              </w:rPr>
              <w:t>Ausweitung auf HV-Verträge</w:t>
            </w:r>
          </w:p>
        </w:tc>
      </w:tr>
    </w:tbl>
    <w:p/>
    <w:p>
      <w:pPr>
        <w:pStyle w:val="Heading2"/>
      </w:pPr>
      <w:r>
        <w:rPr>
          <w:rFonts w:ascii="Times New Roman" w:hAnsi="Times New Roman"/>
        </w:rPr>
        <w:t>2. FCPA Voluntary Disclosure — Entscheidung</w:t>
      </w:r>
    </w:p>
    <w:p>
      <w:pPr>
        <w:pStyle w:val="Heading3"/>
      </w:pPr>
      <w:r>
        <w:rPr>
          <w:rFonts w:ascii="Times New Roman" w:hAnsi="Times New Roman"/>
        </w:rPr>
        <w:t>2.1 Entscheidungsgrundlage</w:t>
      </w:r>
    </w:p>
    <w:p>
      <w:pPr>
        <w:jc w:val="left"/>
      </w:pPr>
      <w:r>
        <w:t>Brösel Holzapfel &amp; Partner hat nach Auswertung aller Informationen die folgende Empfehlung abgegeben (Memorandum vom 15. Mai 2026, vertraulich):</w:t>
      </w:r>
    </w:p>
    <w:p>
      <w:pPr>
        <w:ind w:left="567"/>
      </w:pPr>
      <w:r>
        <w:rPr>
          <w:i/>
        </w:rPr>
        <w:t>„We recommend filing a Voluntary Self-Disclosure (VSD) with the U.S. Department of Justice (DOJ), Criminal Division, Fraud Section, relating to potential FCPA violations by Werkmann Anlagentechnik AG through acts of Al-Quwairy Trading LLC as agent. The VSD should focus on the Al-Quwairy payments and should not, at this stage, purport to be exhaustive. We anticipate that DOJ will open a formal investigation but that a declination (i.e., no criminal prosecution) is achievable if Werkmann demonstrates genuine remediation, full cooperation, and disgorgement of any illicit benefit."</w:t>
      </w:r>
    </w:p>
    <w:p>
      <w:pPr>
        <w:pStyle w:val="Heading3"/>
      </w:pPr>
      <w:r>
        <w:rPr>
          <w:rFonts w:ascii="Times New Roman" w:hAnsi="Times New Roman"/>
        </w:rPr>
        <w:t>2.2 Voraussetzungen für Declination</w:t>
      </w:r>
    </w:p>
    <w:p>
      <w:pPr>
        <w:jc w:val="left"/>
      </w:pPr>
      <w:r>
        <w:t>Das DOJ FCPA Corporate Enforcement Policy (veröffentlicht November 2017, aktualisiert März 2023) sieht bei VSD folgende Voraussetzungen für eine Declination (Nichtanklage) vor:</w:t>
      </w:r>
    </w:p>
    <w:p>
      <w:pPr>
        <w:pStyle w:val="ListNumber"/>
      </w:pPr>
      <w:r>
        <w:t>Freiwillige und zeitnahe Selbstanzeige</w:t>
      </w:r>
    </w:p>
    <w:p>
      <w:pPr>
        <w:pStyle w:val="ListNumber"/>
      </w:pPr>
      <w:r>
        <w:t>Vollständige Kooperation (alle relevanten Unterlagen, Benennung aller Beteiligten)</w:t>
      </w:r>
    </w:p>
    <w:p>
      <w:pPr>
        <w:pStyle w:val="ListNumber"/>
      </w:pPr>
      <w:r>
        <w:t>Angemessene Remediation (Verbesserung der Compliance-Programme, Entlassung beteiligter Mitarbeiter)</w:t>
      </w:r>
    </w:p>
    <w:p>
      <w:pPr>
        <w:pStyle w:val="ListNumber"/>
      </w:pPr>
      <w:r>
        <w:t>Herausgabe unrechtmäßig erlangter Vorteile (Disgorgement: Differenz Auftragspreis − Selbstkosten)</w:t>
      </w:r>
    </w:p>
    <w:p>
      <w:pPr>
        <w:jc w:val="left"/>
      </w:pPr>
      <w:r>
        <w:t>Werkmann erfüllt die Voraussetzungen 1, 2 und 4 prinzipiell. Voraussetzung 3 erfordert den Abschluss der laufenden HR-Maßnahmen (Enders-Verfahren).</w:t>
      </w:r>
    </w:p>
    <w:p>
      <w:pPr>
        <w:pStyle w:val="Heading3"/>
      </w:pPr>
      <w:r>
        <w:rPr>
          <w:rFonts w:ascii="Times New Roman" w:hAnsi="Times New Roman"/>
        </w:rPr>
        <w:t>2.3 Zeitplan VSD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Frist</w:t>
            </w:r>
          </w:p>
        </w:tc>
      </w:tr>
      <w:tr>
        <w:tc>
          <w:tcPr>
            <w:tcW w:type="dxa" w:w="4536"/>
          </w:tcPr>
          <w:p>
            <w:r>
              <w:rPr>
                <w:rFonts w:ascii="Times New Roman" w:hAnsi="Times New Roman"/>
                <w:sz w:val="20"/>
              </w:rPr>
              <w:t>Abschluss HR-Maßnahme Enders</w:t>
            </w:r>
          </w:p>
        </w:tc>
        <w:tc>
          <w:tcPr>
            <w:tcW w:type="dxa" w:w="4536"/>
          </w:tcPr>
          <w:p>
            <w:r>
              <w:rPr>
                <w:rFonts w:ascii="Times New Roman" w:hAnsi="Times New Roman"/>
                <w:sz w:val="20"/>
              </w:rPr>
              <w:t>15. Juni 2026</w:t>
            </w:r>
          </w:p>
        </w:tc>
      </w:tr>
      <w:tr>
        <w:tc>
          <w:tcPr>
            <w:tcW w:type="dxa" w:w="4536"/>
          </w:tcPr>
          <w:p>
            <w:r>
              <w:rPr>
                <w:rFonts w:ascii="Times New Roman" w:hAnsi="Times New Roman"/>
                <w:sz w:val="20"/>
              </w:rPr>
              <w:t>Fertigstellung VSD-Memorandum (Brösel Holzapfel &amp; Partner)</w:t>
            </w:r>
          </w:p>
        </w:tc>
        <w:tc>
          <w:tcPr>
            <w:tcW w:type="dxa" w:w="4536"/>
          </w:tcPr>
          <w:p>
            <w:r>
              <w:rPr>
                <w:rFonts w:ascii="Times New Roman" w:hAnsi="Times New Roman"/>
                <w:sz w:val="20"/>
              </w:rPr>
              <w:t>30. Juni 2026</w:t>
            </w:r>
          </w:p>
        </w:tc>
      </w:tr>
      <w:tr>
        <w:tc>
          <w:tcPr>
            <w:tcW w:type="dxa" w:w="4536"/>
          </w:tcPr>
          <w:p>
            <w:r>
              <w:rPr>
                <w:rFonts w:ascii="Times New Roman" w:hAnsi="Times New Roman"/>
                <w:sz w:val="20"/>
              </w:rPr>
              <w:t>Einreichung VSD beim DOJ</w:t>
            </w:r>
          </w:p>
        </w:tc>
        <w:tc>
          <w:tcPr>
            <w:tcW w:type="dxa" w:w="4536"/>
          </w:tcPr>
          <w:p>
            <w:r>
              <w:rPr>
                <w:rFonts w:ascii="Times New Roman" w:hAnsi="Times New Roman"/>
                <w:sz w:val="20"/>
              </w:rPr>
              <w:t>15. Juli 2026</w:t>
            </w:r>
          </w:p>
        </w:tc>
      </w:tr>
      <w:tr>
        <w:tc>
          <w:tcPr>
            <w:tcW w:type="dxa" w:w="4536"/>
          </w:tcPr>
          <w:p>
            <w:r>
              <w:rPr>
                <w:rFonts w:ascii="Times New Roman" w:hAnsi="Times New Roman"/>
                <w:sz w:val="20"/>
              </w:rPr>
              <w:t>DOJ-Erstreaktion erwartet</w:t>
            </w:r>
          </w:p>
        </w:tc>
        <w:tc>
          <w:tcPr>
            <w:tcW w:type="dxa" w:w="4536"/>
          </w:tcPr>
          <w:p>
            <w:r>
              <w:rPr>
                <w:rFonts w:ascii="Times New Roman" w:hAnsi="Times New Roman"/>
                <w:sz w:val="20"/>
              </w:rPr>
              <w:t>3.–4. Quartal 2026</w:t>
            </w:r>
          </w:p>
        </w:tc>
      </w:tr>
    </w:tbl>
    <w:p/>
    <w:p>
      <w:pPr>
        <w:pStyle w:val="Heading2"/>
      </w:pPr>
      <w:r>
        <w:rPr>
          <w:rFonts w:ascii="Times New Roman" w:hAnsi="Times New Roman"/>
        </w:rPr>
        <w:t>3. Paralleles deutsches Strafverfahren</w:t>
      </w:r>
    </w:p>
    <w:p>
      <w:pPr>
        <w:jc w:val="left"/>
      </w:pPr>
      <w:r>
        <w:t>Die Staatsanwaltschaft Frankfurt am Main (Wirtschafts- und Korruptionsstrafkammer) prüft nach Eingang einer Informationsweiterleitung von KPMG Law (über Sondervermittler) die Einleitung eines Ermittlungsverfahrens. Da Werkmann aktiv kooperiert und eine forensische Untersuchung eigens eingeleitet hat, ist die Verteidigungsstrategie im deutschen Verfahren auf vollständige Kooperation und Darlegung der Compliance-Mängel als institutionelles (nicht individuelles) Versagen auszurichten.</w:t>
      </w:r>
    </w:p>
    <w:p/>
    <w:p>
      <w:pPr>
        <w:pStyle w:val="Heading2"/>
      </w:pPr>
      <w:r>
        <w:rPr>
          <w:rFonts w:ascii="Times New Roman" w:hAnsi="Times New Roman"/>
        </w:rPr>
        <w:t>4. Vertragliche Konsequenzen Al-Quwairy</w:t>
      </w:r>
    </w:p>
    <w:p>
      <w:pPr>
        <w:jc w:val="left"/>
      </w:pPr>
      <w:r>
        <w:t>Al-Quwairy Trading LLC wurde mit Schreiben vom 28. April 2026 (Entwurf: Kanzlei) aus wichtigem Grund nach § 89a HGB fristlos gekündigt. Die ausstehenden Provisionen (ca. 180.000 EUR) werden zurückgehalten. Al-Quwairy hat durch seinen Rechtsanwalt (Dr. Abdullah Bin Hasan, Riad) Widerspruch eingelegt und Zahlung der Provision verlangt. Eine Klage in Saudi-Arabien vor dem Handelsgericht Riad (Mahkamah Tijariya) ist angekündigt worden; Gegenstrategie: Verrechnung des Schadens aus der Korruptionszahlung gegen etwaige Provisionsforderung.</w:t>
      </w:r>
    </w:p>
    <w:p/>
    <w:p>
      <w:pPr>
        <w:jc w:val="left"/>
      </w:pPr>
      <w:r>
        <w:rPr>
          <w:i/>
        </w:rPr>
        <w:t>Bearbeitung: RAin Goller-Neuss / Brösel Holzapfel &amp; Partner — Stand: 28.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