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— EAR-Voluntary Self-Disclosure Werkmann Pharma Inc. / BIS</w:t>
      </w:r>
    </w:p>
    <w:p>
      <w:pPr>
        <w:jc w:val="left"/>
      </w:pPr>
      <w:r>
        <w:rPr>
          <w:b/>
        </w:rPr>
        <w:t>Erstellt:</w:t>
      </w:r>
      <w:r>
        <w:t xml:space="preserve"> 02. Juni 2026</w:t>
      </w:r>
    </w:p>
    <w:p>
      <w:pPr>
        <w:jc w:val="left"/>
      </w:pPr>
      <w:r>
        <w:rPr>
          <w:b/>
        </w:rPr>
        <w:t>Bearbeitung:</w:t>
      </w:r>
      <w:r>
        <w:t xml:space="preserve"> Brösel Holzapfel &amp; Partner LLP (Bartholomäus Dingelstedt Esq.); Koordination: RAin Dr. Boekenkamp</w:t>
      </w:r>
    </w:p>
    <w:p>
      <w:pPr>
        <w:jc w:val="left"/>
      </w:pPr>
      <w:r>
        <w:rPr>
          <w:b/>
        </w:rPr>
        <w:t>Empfänger:</w:t>
      </w:r>
      <w:r>
        <w:t xml:space="preserve"> U.S. Department of Commerce, Bureau of Industry and Security (BIS), Office of Export Enforcement (OEE), 14th Street and Constitution Avenue NW, Washington, DC 20230</w:t>
      </w:r>
    </w:p>
    <w:p/>
    <w:p>
      <w:pPr>
        <w:pStyle w:val="Heading2"/>
      </w:pPr>
      <w:r>
        <w:rPr>
          <w:rFonts w:ascii="Times New Roman" w:hAnsi="Times New Roman"/>
        </w:rPr>
        <w:t>1. Hintergrund EAR-Risiko</w:t>
      </w:r>
    </w:p>
    <w:p>
      <w:pPr>
        <w:jc w:val="left"/>
      </w:pPr>
      <w:r>
        <w:t>Wie in Aktenstück 06 (US-Sekundärsanktionen) dargestellt, enthielt der MFR-3400X US-Ursprungs-Komponenten (LabVIEW-Software, Texas-Instruments-Halbleiter), deren Re-Export nach Iran per EAR ohne Genehmigung verboten ist. Werkmann Pharma Inc. (WPh) hat diese Komponenten zwar nicht direkt re-exportiert, könnte aber als „facilitator" einer solchen Transaktion eingestuft werden, wenn ihre Lieferungen an die Muttergesellschaft kausal mit dem späteren Iran-Export verbunden waren.</w:t>
      </w:r>
    </w:p>
    <w:p/>
    <w:p>
      <w:pPr>
        <w:pStyle w:val="Heading2"/>
      </w:pPr>
      <w:r>
        <w:rPr>
          <w:rFonts w:ascii="Times New Roman" w:hAnsi="Times New Roman"/>
        </w:rPr>
        <w:t>2. Inhalt der VSD</w:t>
      </w:r>
    </w:p>
    <w:p>
      <w:pPr>
        <w:jc w:val="left"/>
      </w:pPr>
      <w:r>
        <w:t>Die VSD enthält folgende Elemente:</w:t>
      </w:r>
    </w:p>
    <w:p>
      <w:pPr>
        <w:pStyle w:val="ListNumber"/>
      </w:pPr>
      <w:r>
        <w:rPr>
          <w:b/>
        </w:rPr>
        <w:t>Voluntary Disclosure Statement:</w:t>
      </w:r>
      <w:r>
        <w:t xml:space="preserve"> Ausführliche Darstellung aller bekannten Fakten (Lieferkette, Produktbeschreibung, US-Komponenten, Endabnehmer).</w:t>
      </w:r>
    </w:p>
    <w:p>
      <w:pPr>
        <w:pStyle w:val="ListNumber"/>
      </w:pPr>
      <w:r>
        <w:rPr>
          <w:b/>
        </w:rPr>
        <w:t>Commitment to Remediation:</w:t>
      </w:r>
      <w:r>
        <w:t xml:space="preserve"> WPh verpflichtet sich zu:</w:t>
      </w:r>
    </w:p>
    <w:p>
      <w:pPr>
        <w:pStyle w:val="ListBullet"/>
      </w:pPr>
      <w:r>
        <w:t>Einführung eines EAR-spezifischen Compliance-Programms (BIS Export Compliance Program, ECP)</w:t>
      </w:r>
    </w:p>
    <w:p>
      <w:pPr>
        <w:pStyle w:val="ListBullet"/>
      </w:pPr>
      <w:r>
        <w:t>Quartalsmäßige Screening-Updates aller US-Ursprungs-Produkte gegen BIS Country Group D:5</w:t>
      </w:r>
    </w:p>
    <w:p>
      <w:pPr>
        <w:pStyle w:val="ListBullet"/>
      </w:pPr>
      <w:r>
        <w:t>Schulung aller Vertriebsmitarbeiter WPh nach EAR-Grundsätzen</w:t>
      </w:r>
    </w:p>
    <w:p>
      <w:pPr>
        <w:pStyle w:val="ListBullet"/>
      </w:pPr>
      <w:r>
        <w:t>Implementierung eines IT-gestützten EAR/ECCN-Klassifikationssystems (GTC Screening via Oracle AGSS)</w:t>
      </w:r>
    </w:p>
    <w:p>
      <w:pPr>
        <w:pStyle w:val="ListNumber"/>
      </w:pPr>
      <w:r>
        <w:rPr>
          <w:b/>
        </w:rPr>
        <w:t>Estimated Value of Violation:</w:t>
      </w:r>
      <w:r>
        <w:t xml:space="preserve"> WPh schätzt den Transaktionswert der US-Ursprungs-Komponenten im MFR-3400X auf ca. 28.000 USD (LabVIEW-Lizenz: ca. 12.000 USD; TI-Halbleiter-Stückliste: ca. 16.000 USD pro Einheit × 3 Einheiten — Anteil WPh: 1/3 aufgrund Vertriebsverantwortung, d.h. ca. 9.300 USD).</w:t>
      </w:r>
    </w:p>
    <w:p/>
    <w:p>
      <w:pPr>
        <w:pStyle w:val="Heading2"/>
      </w:pPr>
      <w:r>
        <w:rPr>
          <w:rFonts w:ascii="Times New Roman" w:hAnsi="Times New Roman"/>
        </w:rPr>
        <w:t>3. Erwartetes BIS-Ergebnis</w:t>
      </w:r>
    </w:p>
    <w:p>
      <w:pPr>
        <w:jc w:val="left"/>
      </w:pPr>
      <w:r>
        <w:t>Bei freiwilliger Anzeige eines erstmaligen Verstoßes und angemessener Remediation bewertet Brösel Holzapfel &amp; Partner das BIS-Ergebnis wie folgt:</w:t>
      </w:r>
    </w:p>
    <w:p>
      <w:pPr>
        <w:pStyle w:val="ListBullet"/>
      </w:pPr>
      <w:r>
        <w:rPr>
          <w:b/>
        </w:rPr>
        <w:t>Warning Letter:</w:t>
      </w:r>
      <w:r>
        <w:t xml:space="preserve"> Wahrscheinlichstes Ergebnis; keine Bußgeldzahlung</w:t>
      </w:r>
    </w:p>
    <w:p>
      <w:pPr>
        <w:pStyle w:val="ListBullet"/>
      </w:pPr>
      <w:r>
        <w:rPr>
          <w:b/>
        </w:rPr>
        <w:t>No-Action Letter:</w:t>
      </w:r>
      <w:r>
        <w:t xml:space="preserve"> Möglich bei minimaler US-Beteiligung</w:t>
      </w:r>
    </w:p>
    <w:p>
      <w:pPr>
        <w:pStyle w:val="ListBullet"/>
      </w:pPr>
      <w:r>
        <w:rPr>
          <w:b/>
        </w:rPr>
        <w:t>Civil Penalty:</w:t>
      </w:r>
      <w:r>
        <w:t xml:space="preserve"> Unwahrscheinlich bei vollständiger Kooperation</w:t>
      </w:r>
    </w:p>
    <w:p>
      <w:pPr>
        <w:jc w:val="left"/>
      </w:pPr>
      <w:r>
        <w:t>BIS-Bearbeitungszeit für VSD: erfahrungsgemäß 12–24 Monate.</w:t>
      </w:r>
    </w:p>
    <w:p/>
    <w:p>
      <w:pPr>
        <w:pStyle w:val="Heading2"/>
      </w:pPr>
      <w:r>
        <w:rPr>
          <w:rFonts w:ascii="Times New Roman" w:hAnsi="Times New Roman"/>
        </w:rPr>
        <w:t>4. Koordination mit OFAC</w:t>
      </w:r>
    </w:p>
    <w:p>
      <w:pPr>
        <w:jc w:val="left"/>
      </w:pPr>
      <w:r>
        <w:t>OFAC und BIS haben eine interinstitutionelle Koordination eingerichtet; die OFAC-Response (Aktenstück 17) und die BIS-VSD werden aufeinander abgestimmt, um Widersprüche zu vermeiden. Gemeinsame Aussagenlinie: „WPh did not knowingly facilitate the delivery of controlled items to Iran; WPh discovered the matter through internal review and proactively self-disclosed to both agencies."</w:t>
      </w:r>
    </w:p>
    <w:p/>
    <w:p>
      <w:pPr>
        <w:jc w:val="left"/>
      </w:pPr>
      <w:r>
        <w:rPr>
          <w:i/>
        </w:rPr>
        <w:t>Brösel Holzapfel &amp; Partner LLP — Koordinationsvermerk. Stand: 10. Juni 2026. Vertraulich.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