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20 — Gesamtstrategie und Verfahrenskoordination</w:t>
      </w:r>
    </w:p>
    <w:p>
      <w:pPr>
        <w:jc w:val="left"/>
      </w:pPr>
      <w:r>
        <w:rPr>
          <w:b/>
        </w:rPr>
        <w:t>Erstellt:</w:t>
      </w:r>
      <w:r>
        <w:t xml:space="preserve"> 15. Juni 2026</w:t>
      </w:r>
    </w:p>
    <w:p>
      <w:pPr>
        <w:jc w:val="left"/>
      </w:pPr>
      <w:r>
        <w:rPr>
          <w:b/>
        </w:rPr>
        <w:t>Bearbeitung:</w:t>
      </w:r>
      <w:r>
        <w:t xml:space="preserve"> RAin Dr. Carola Boekenkamp (federführend)</w:t>
      </w:r>
    </w:p>
    <w:p>
      <w:pPr>
        <w:jc w:val="left"/>
      </w:pPr>
      <w:r>
        <w:rPr>
          <w:b/>
        </w:rPr>
        <w:t>Teilnehmer Strategiebesprechung 12.06.2026:</w:t>
      </w:r>
      <w:r>
        <w:t xml:space="preserve"> GF Dr. Werkmann-Lottermann, CFO Florian Reusch, RAin Dr. Boekenkamp, RAin Goller-Neuss, Brösel Holzapfel &amp; Partner (telefonisch)</w:t>
      </w:r>
    </w:p>
    <w:p/>
    <w:p>
      <w:pPr>
        <w:pStyle w:val="Heading2"/>
      </w:pPr>
      <w:r>
        <w:rPr>
          <w:rFonts w:ascii="Times New Roman" w:hAnsi="Times New Roman"/>
        </w:rPr>
        <w:t>1. Überblick der parallelen Verfahrensstränge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Nächste 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BAFA OWi (Dual-Use)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BL-22-4188/26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Stellungnahme eingereicht (29.04.2026)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BAFA-Entscheidung Q3/2026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OFAC-Anfrage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OFAC/SDN/IRN-2026-00448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Response in Vorbereitung (Frist 30.06.2026)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BIS-VSD (EAR)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VSD eingereicht 15.06.2026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Bestätigung BIS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DOJ-FCPA-VSD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Einreichung geplant 15.07.2026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BMWK-Investitionsprüfung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13-IPR-66/2026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Unterlagen eingereicht 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BMWK-Bescheid Q3/2026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ICC Paris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28-441/SCH/MS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Schiedsgericht konstituiert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Klagebegründung 30.07.2026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Frankfurt Arrest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3-21 O 144/26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Arrestbeschluss erwartet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Vollziehung nach Beschluss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GeschGehG (Nasseri)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WAT-IP-2026/01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Strafanzeige erstattet 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Kriminalpolizei ermittelt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Al-Quwairy Kündigung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WAT-KOR-2026/01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Gekündigt 28.04.2026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Gegenstrategie Handelsgericht Riad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CBAM-Korrektur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WAT-CBAM-2026/01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 beim Zolldeklarant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Korrekturmeldung bis 30.07.2026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Strategische Leitlinien</w:t>
      </w:r>
    </w:p>
    <w:p>
      <w:pPr>
        <w:pStyle w:val="Heading3"/>
      </w:pPr>
      <w:r>
        <w:rPr>
          <w:rFonts w:ascii="Times New Roman" w:hAnsi="Times New Roman"/>
        </w:rPr>
        <w:t>2.1 Kooperationsprinzip</w:t>
      </w:r>
    </w:p>
    <w:p>
      <w:pPr>
        <w:jc w:val="left"/>
      </w:pPr>
      <w:r>
        <w:t>Gegenüber allen deutschen und US-amerikanischen Behörden gilt das Prinzip der vollständigen und proaktiven Kooperation. Dieses Prinzip ist nicht nur ethisch geboten, sondern auch rechtlich und wirtschaftlich vorteilhafter als jede Konfrontationsstrategie. Kooperation sichert:</w:t>
      </w:r>
    </w:p>
    <w:p>
      <w:pPr>
        <w:pStyle w:val="ListBullet"/>
      </w:pPr>
      <w:r>
        <w:t>Bußgeldminderung (BAFA, BIS, OFAC)</w:t>
      </w:r>
    </w:p>
    <w:p>
      <w:pPr>
        <w:pStyle w:val="ListBullet"/>
      </w:pPr>
      <w:r>
        <w:t>Vermeidung von SDN-Listung</w:t>
      </w:r>
    </w:p>
    <w:p>
      <w:pPr>
        <w:pStyle w:val="ListBullet"/>
      </w:pPr>
      <w:r>
        <w:t>Vertrauenserhalt bei Kreditgebern und Geschäftspartnern</w:t>
      </w:r>
    </w:p>
    <w:p>
      <w:pPr>
        <w:pStyle w:val="ListBullet"/>
      </w:pPr>
      <w:r>
        <w:t>Voraussetzung für DOJ Declination</w:t>
      </w:r>
    </w:p>
    <w:p>
      <w:pPr>
        <w:pStyle w:val="Heading3"/>
      </w:pPr>
      <w:r>
        <w:rPr>
          <w:rFonts w:ascii="Times New Roman" w:hAnsi="Times New Roman"/>
        </w:rPr>
        <w:t>2.2 Trennungsprinzip</w:t>
      </w:r>
    </w:p>
    <w:p>
      <w:pPr>
        <w:jc w:val="left"/>
      </w:pPr>
      <w:r>
        <w:t>Die verschiedenen Verfahren müssen gegenüber den Behörden klar getrennt kommuniziert werden. Insbesondere ist zu vermeiden, dass die OFAC-Response Details enthält, die das BAFA noch nicht kennt, und umgekehrt. Alle Kommunikationen werden durch die Kanzlei vorab geprüft und freigegeben.</w:t>
      </w:r>
    </w:p>
    <w:p>
      <w:pPr>
        <w:pStyle w:val="Heading3"/>
      </w:pPr>
      <w:r>
        <w:rPr>
          <w:rFonts w:ascii="Times New Roman" w:hAnsi="Times New Roman"/>
        </w:rPr>
        <w:t>2.3 Compliance-Rebuild als Signal</w:t>
      </w:r>
    </w:p>
    <w:p>
      <w:pPr>
        <w:jc w:val="left"/>
      </w:pPr>
      <w:r>
        <w:t>Die umfassende ICP-Überarbeitung (Aktenstück 11) und die Einführung neuer Anti-Korruptions-Maßnahmen (Aktenstück 18) sind nicht nur interne Maßnahmen, sondern werden aktiv als Signal an alle Behörden kommuniziert: Werkmann hat die Mängel erkannt und handelt entschlossen.</w:t>
      </w:r>
    </w:p>
    <w:p/>
    <w:p>
      <w:pPr>
        <w:pStyle w:val="Heading2"/>
      </w:pPr>
      <w:r>
        <w:rPr>
          <w:rFonts w:ascii="Times New Roman" w:hAnsi="Times New Roman"/>
        </w:rPr>
        <w:t>3. Reputationsmanagement</w:t>
      </w:r>
    </w:p>
    <w:p>
      <w:pPr>
        <w:pStyle w:val="Heading3"/>
      </w:pPr>
      <w:r>
        <w:rPr>
          <w:rFonts w:ascii="Times New Roman" w:hAnsi="Times New Roman"/>
        </w:rPr>
        <w:t>3.1 Interne Kommunikation</w:t>
      </w:r>
    </w:p>
    <w:p>
      <w:pPr>
        <w:jc w:val="left"/>
      </w:pPr>
      <w:r>
        <w:t>Der Aufsichtsrat wurde am 17. März 2026 vollständig informiert. Quartalsberichte an den Aufsichtsrat sind eingeführt (nächster: 30. Juni 2026). Mitarbeiter wurden über allgemeine Compliance-Anforderungen informiert; Details der laufenden Verfahren bleiben vertraulich (need-to-know-Prinzip).</w:t>
      </w:r>
    </w:p>
    <w:p>
      <w:pPr>
        <w:pStyle w:val="Heading3"/>
      </w:pPr>
      <w:r>
        <w:rPr>
          <w:rFonts w:ascii="Times New Roman" w:hAnsi="Times New Roman"/>
        </w:rPr>
        <w:t>3.2 Externe Kommunikation</w:t>
      </w:r>
    </w:p>
    <w:p>
      <w:pPr>
        <w:jc w:val="left"/>
      </w:pPr>
      <w:r>
        <w:t>Auf Anfragen von Kunden, Medien oder Banken gilt bis auf weiteres: Keine Bestätigung laufender Verfahren; Verweis auf „laufende Überprüfungen im Exportkontrollbereich". Ein Statement für die Hausbank Deutsche Bank AG wurde am 18. Mai 2026 übergeben.</w:t>
      </w:r>
    </w:p>
    <w:p>
      <w:pPr>
        <w:pStyle w:val="Heading3"/>
      </w:pPr>
      <w:r>
        <w:rPr>
          <w:rFonts w:ascii="Times New Roman" w:hAnsi="Times New Roman"/>
        </w:rPr>
        <w:t>3.3 TianYuan-Transaktion</w:t>
      </w:r>
    </w:p>
    <w:p>
      <w:pPr>
        <w:jc w:val="left"/>
      </w:pPr>
      <w:r>
        <w:t>Im Rahmen der Investitionsprüfung wurde TianYuan Industrial Group über die laufenden Verfahren vollständig informiert (Disclosure Letter vom 15.05.2026). TianYuan hat bestätigt, dass das Kaufangebot aufrechterhalten bleibt, vorbehaltlich einer positiven BMWK-Entscheidung.</w:t>
      </w:r>
    </w:p>
    <w:p/>
    <w:p>
      <w:pPr>
        <w:pStyle w:val="Heading2"/>
      </w:pPr>
      <w:r>
        <w:rPr>
          <w:rFonts w:ascii="Times New Roman" w:hAnsi="Times New Roman"/>
        </w:rPr>
        <w:t>4. Finanzielle Risikoabschätzung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Risikofaktor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Schadenspotenzial (konservativ)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BAFA-Bußgeld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60.000–150.000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OFAC/BIS (falls keine Declination)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100.000–500.000 USD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DOJ FCPA (falls Prosecution)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1.000.000–5.000.000 USD (Muttergesellschaft)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 Frankfurt Arrestschäden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— (Sicherungsmaßnahme, kein Schaden)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ICC Schiedskosten (Kosten falls Niederlage)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250.000 EUR Kosten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GeschGehG-Klage Nasseri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200.000–500.000 EUR (unsicher)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CBAM-Sanktion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9.000–45.000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Reputationsschaden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schwer quantifizierbar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Gesamtpotenzial (konservativ)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2–7 Millionen EUR/USD</w:t>
            </w:r>
          </w:p>
        </w:tc>
      </w:tr>
    </w:tbl>
    <w:p>
      <w:pPr>
        <w:jc w:val="left"/>
      </w:pPr>
      <w:r>
        <w:t>Die Rücklage des Unternehmens (Gewinnrücklage per 31.12.2025: 22,4 Millionen EUR) ist ausreichend, um den konservativen Schadensfall ohne Liquiditätsprobleme abzudecken. Der pessimistische Szenario (volle DOJ Prosecution + SDN) wäre existenzbedrohend — dieses Szenario wird als sehr unwahrscheinlich (&lt; 5 %) eingestuft.</w:t>
      </w:r>
    </w:p>
    <w:p/>
    <w:p>
      <w:pPr>
        <w:jc w:val="left"/>
      </w:pPr>
      <w:r>
        <w:rPr>
          <w:i/>
        </w:rPr>
        <w:t>Strategiepapier, Kanzlei Salzgitter, Boekenkamp &amp; Trautmannsdorf — Stichtag: 15. Juni 2026. Vertraulich.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