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21 — Verfahrensstand und Aktualisierung September 2026</w:t>
      </w:r>
    </w:p>
    <w:p>
      <w:pPr>
        <w:jc w:val="left"/>
      </w:pPr>
      <w:r>
        <w:rPr>
          <w:b/>
        </w:rPr>
        <w:t>Erstellt:</w:t>
      </w:r>
      <w:r>
        <w:t xml:space="preserve"> 30. September 2026</w:t>
      </w:r>
    </w:p>
    <w:p>
      <w:pPr>
        <w:jc w:val="left"/>
      </w:pPr>
      <w:r>
        <w:rPr>
          <w:b/>
        </w:rPr>
        <w:t>Bearbeitung:</w:t>
      </w:r>
      <w:r>
        <w:t xml:space="preserve"> RAin Dr. Carola Boekenkamp (Stichtagsbericht)</w:t>
      </w:r>
    </w:p>
    <w:p/>
    <w:p>
      <w:pPr>
        <w:pStyle w:val="Heading2"/>
      </w:pPr>
      <w:r>
        <w:rPr>
          <w:rFonts w:ascii="Times New Roman" w:hAnsi="Times New Roman"/>
        </w:rPr>
        <w:t>1. BAFA OWi-Verfahren</w:t>
      </w:r>
    </w:p>
    <w:p>
      <w:pPr>
        <w:jc w:val="left"/>
      </w:pPr>
      <w:r>
        <w:t>Mit Bescheid vom 12. August 2026 (Az. BAFA OWi BL-22-4188/26) hat das BAFA das Ordnungswidrigkeitenverfahren mit der Feststellung eines Verstoßes gegen Art. 4 Abs. 2 der Dual-Use-VO (EU) 2021/821 (Unterlassung der erforderlichen BAFA-Mitteilung bei Vorliegen von WMD-relevanten Hinweisen) abgeschlossen und eine Geldbuße von 95.000 EUR (inkl. 25 % Kooperationsrabatt) festgesetzt. Ein Vorsatz wurde nicht festgestellt; das Verfahren wurde nicht an die Strafverfolgungsbehörden weitergeleitet.</w:t>
      </w:r>
    </w:p>
    <w:p>
      <w:pPr>
        <w:jc w:val="left"/>
      </w:pPr>
      <w:r>
        <w:t>Werkmann hat die Geldbuße am 25. August 2026 bezahlt. Das Verfahren ist damit rechtskräftig abgeschlossen.</w:t>
      </w:r>
    </w:p>
    <w:p/>
    <w:p>
      <w:pPr>
        <w:pStyle w:val="Heading2"/>
      </w:pPr>
      <w:r>
        <w:rPr>
          <w:rFonts w:ascii="Times New Roman" w:hAnsi="Times New Roman"/>
        </w:rPr>
        <w:t>2. OFAC / BIS</w:t>
      </w:r>
    </w:p>
    <w:p>
      <w:pPr>
        <w:jc w:val="left"/>
      </w:pPr>
      <w:r>
        <w:t>OFAC hat mit Schreiben vom 20. August 2026 (Referenz OFAC/SDN/IRN-2026-00448/RESPONSE) auf die Response von WPh geantwortet und mitgeteilt, dass keine SDN-Listung beabsichtigt ist. Ein formelles „No-Action"-Statement wurde nicht erteilt; OFAC behält sich eine weitere Prüfung vor.</w:t>
      </w:r>
    </w:p>
    <w:p>
      <w:pPr>
        <w:jc w:val="left"/>
      </w:pPr>
      <w:r>
        <w:t>BIS hat den Eingang der VSD von WPh bestätigt (Bestätigungs-Schreiben BIS/OEE/VSD-2026-0471, 25. Juni 2026). Eine Entscheidung ist in 12–24 Monaten zu erwarten.</w:t>
      </w:r>
    </w:p>
    <w:p/>
    <w:p>
      <w:pPr>
        <w:pStyle w:val="Heading2"/>
      </w:pPr>
      <w:r>
        <w:rPr>
          <w:rFonts w:ascii="Times New Roman" w:hAnsi="Times New Roman"/>
        </w:rPr>
        <w:t>3. BMWK-Investitionsprüfung</w:t>
      </w:r>
    </w:p>
    <w:p>
      <w:pPr>
        <w:jc w:val="left"/>
      </w:pPr>
      <w:r>
        <w:t>Das BMWK hat am 15. September 2026 eine vorläufige Freigabe der TianYuan-Transaktion mit Auflagen (Technology Protection Agreement, Information Barrier, Beobachter im Aufsichtsrat) signalisiert. Der formelle Freigabebescheid wird bis Ende Oktober 2026 erwartet. Das Signing der Transaktion (28 % TianYuan an Werkmann AG) ist für Dezember 2026 geplant.</w:t>
      </w:r>
    </w:p>
    <w:p/>
    <w:p>
      <w:pPr>
        <w:pStyle w:val="Heading2"/>
      </w:pPr>
      <w:r>
        <w:rPr>
          <w:rFonts w:ascii="Times New Roman" w:hAnsi="Times New Roman"/>
        </w:rPr>
        <w:t>4. ICC-Schiedsverfahren</w:t>
      </w:r>
    </w:p>
    <w:p>
      <w:pPr>
        <w:jc w:val="left"/>
      </w:pPr>
      <w:r>
        <w:t>Statement of Claim wurde am 30. Juli 2026 fristgerecht beim ICC-Schiedsgericht eingereicht. BioMechanix hat am 29. Oktober 2026 (Frist) Statement of Defence einzureichen. Das Schiedsverfahren verläuft plangemäß; die Hauptverhandlung in Paris ist für April 2027 bestätigt.</w:t>
      </w:r>
    </w:p>
    <w:p>
      <w:pPr>
        <w:jc w:val="left"/>
      </w:pPr>
      <w:r>
        <w:t>Der Arrest-Beschluss des LG Frankfurt (3-21 O 144/26) vom 04. Mai 2026 ist vollzogen; das Commerzbank-Konto der BioMechanix (Guthaben: 1,3 Millionen EUR) ist mit Arrest belegt.</w:t>
      </w:r>
    </w:p>
    <w:p/>
    <w:p>
      <w:pPr>
        <w:pStyle w:val="Heading2"/>
      </w:pPr>
      <w:r>
        <w:rPr>
          <w:rFonts w:ascii="Times New Roman" w:hAnsi="Times New Roman"/>
        </w:rPr>
        <w:t>5. DOJ FCPA</w:t>
      </w:r>
    </w:p>
    <w:p>
      <w:pPr>
        <w:jc w:val="left"/>
      </w:pPr>
      <w:r>
        <w:t>Die VSD wurde am 14. Juli 2026 beim DOJ eingereicht. DOJ hat den Eingang bestätigt (Bestätigung vom 22. Juli 2026) und eine Bearbeitungszeit von 18–24 Monaten angegeben. Brösel Holzapfel &amp; Partner bewertet die Lage weiterhin als günstig für eine Declination.</w:t>
      </w:r>
    </w:p>
    <w:p/>
    <w:p>
      <w:pPr>
        <w:pStyle w:val="Heading2"/>
      </w:pPr>
      <w:r>
        <w:rPr>
          <w:rFonts w:ascii="Times New Roman" w:hAnsi="Times New Roman"/>
        </w:rPr>
        <w:t>6. GeschGehG / Nasseri</w:t>
      </w:r>
    </w:p>
    <w:p>
      <w:pPr>
        <w:jc w:val="left"/>
      </w:pPr>
      <w:r>
        <w:t>Die Staatsanwaltschaft Mannheim hat das Ermittlungsverfahren gegen Zubair Nasseri (§ 23 GeschGehG) aufgenommen. Ein Europäischer Haftbefehl wurde noch nicht erwirkt, da der Aufenthaltsort in Teheran außerhalb des EHB-Geltungsbereichs liegt. Werkmann bereitet eine Zivilklage vor dem LG Mannheim vor; Streitwert: 350.000 EUR.</w:t>
      </w:r>
    </w:p>
    <w:p/>
    <w:p>
      <w:pPr>
        <w:pStyle w:val="Heading2"/>
      </w:pPr>
      <w:r>
        <w:rPr>
          <w:rFonts w:ascii="Times New Roman" w:hAnsi="Times New Roman"/>
        </w:rPr>
        <w:t>7. CBAM-Korrektur</w:t>
      </w:r>
    </w:p>
    <w:p>
      <w:pPr>
        <w:jc w:val="left"/>
      </w:pPr>
      <w:r>
        <w:t>Die CBAM-Korrekturmeldungen für 2024 wurden am 28. Juli 2026 bei der Bundeszolldirektion eingereicht. Anadolu Döküm Sanayi hat ein neues Materialzertifikat vorgelegt, aus dem hervorgeht, dass ab Januar 2025 ausschließlich nicht-russisches Aluminium (Hydro ASA Norwegen und Emirates Global Aluminium) verwendet wird. Die Sanktion der CBAM-Behörde (ca. 22.000 EUR) wurde am 30. August 2026 gezahlt.</w:t>
      </w:r>
    </w:p>
    <w:p/>
    <w:p>
      <w:pPr>
        <w:pStyle w:val="Heading2"/>
      </w:pPr>
      <w:r>
        <w:rPr>
          <w:rFonts w:ascii="Times New Roman" w:hAnsi="Times New Roman"/>
        </w:rPr>
        <w:t>8. Ausblick</w:t>
      </w:r>
    </w:p>
    <w:p>
      <w:pPr>
        <w:jc w:val="left"/>
      </w:pPr>
      <w:r>
        <w:t>Die Mandantin hat die akuteste Phase der Krise überstanden. Die wichtigsten Verfahren sind entweder abgeschlossen (BAFA, CBAM) oder verlaufen plangemäß (ICC, BMWK, OFAC). Die DOJ FCPA-Prüfung bleibt der größte verbleibende Unsicherheitsfaktor; Brösel Holzapfel &amp; Partner beobachtet das Verfahren engmaschig.</w:t>
      </w:r>
    </w:p>
    <w:p>
      <w:pPr>
        <w:jc w:val="left"/>
      </w:pPr>
      <w:r>
        <w:t>Die Überarbeitung des ICP ist abgeschlossen (Abschlussbericht KPMG Law: 31. August 2026). Die neue Exportkontrollbeauftragte Dr. Martina Heller-Krentz (ehem. BAFA-Referatsleiterin) hat ihre Stelle am 01. September 2026 angetreten.</w:t>
      </w:r>
    </w:p>
    <w:p/>
    <w:p>
      <w:pPr>
        <w:jc w:val="left"/>
      </w:pPr>
      <w:r>
        <w:rPr>
          <w:i/>
        </w:rPr>
        <w:t>Stichtagsbericht 30. September 2026 — RAin Dr. Carola Boekenkamp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