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01 — Erstberatung und Mandantennotiz</w:t>
      </w:r>
    </w:p>
    <w:p>
      <w:pPr>
        <w:jc w:val="left"/>
      </w:pPr>
      <w:r>
        <w:rPr>
          <w:b/>
        </w:rPr>
        <w:t>Aktenzeichen:</w:t>
      </w:r>
      <w:r>
        <w:t xml:space="preserve"> VG Hannover 4 A 4188/26 | ZA 9-44-188-2026</w:t>
      </w:r>
    </w:p>
    <w:p>
      <w:pPr>
        <w:jc w:val="left"/>
      </w:pPr>
      <w:r>
        <w:rPr>
          <w:b/>
        </w:rPr>
        <w:t>Anwältin:</w:t>
      </w:r>
      <w:r>
        <w:t xml:space="preserve"> RAin Veronika Kollatz-Ahnen</w:t>
      </w:r>
    </w:p>
    <w:p>
      <w:pPr>
        <w:jc w:val="left"/>
      </w:pPr>
      <w:r>
        <w:rPr>
          <w:b/>
        </w:rPr>
        <w:t>Datum Erstgespräch:</w:t>
      </w:r>
      <w:r>
        <w:t xml:space="preserve"> 14.04.2026</w:t>
      </w:r>
    </w:p>
    <w:p>
      <w:pPr>
        <w:jc w:val="left"/>
      </w:pPr>
      <w:r>
        <w:rPr>
          <w:b/>
        </w:rPr>
        <w:t>Beratungsstelle:</w:t>
      </w:r>
      <w:r>
        <w:t xml:space="preserve"> Caritas-Migrationsberatung Hannover-Bothfeld (Vermittlung)</w:t>
      </w:r>
    </w:p>
    <w:p/>
    <w:p>
      <w:pPr>
        <w:pStyle w:val="Heading2"/>
      </w:pPr>
      <w:r>
        <w:rPr>
          <w:rFonts w:ascii="Times New Roman" w:hAnsi="Times New Roman"/>
        </w:rPr>
        <w:t>1. Gesprächsrahmen</w:t>
      </w:r>
    </w:p>
    <w:p>
      <w:pPr>
        <w:jc w:val="left"/>
      </w:pPr>
      <w:r>
        <w:t>Das Erstgespräch fand am 14.04.2026 in den Kanzleiräumen von RAin Kollatz-Ahnen, Lister Meile 44, 30161 Hannover statt. Zugegen waren Reza Amiri und Shirin Hosseini-Tabrizi sowie — als Sprachmittlerin — Frau Nasrin Farshchian (zertifizierte Dolmetscherin Farsi/Deutsch, VDÜ). Beraterin der Caritas, Frau Anneliese Schröter-Bauer, nahm beobachtend teil.</w:t>
      </w:r>
    </w:p>
    <w:p>
      <w:pPr>
        <w:jc w:val="left"/>
      </w:pPr>
      <w:r>
        <w:t>Das Gespräch dauerte 110 Minuten. Beide Mandanten wirkten erschöpft und angespannt, zeigten jedoch klare Kommunikationsfähigkeit und eine kohärente gemeinsame Schilderung des Verfolgungsgeschehens. Reza jr. schlief während des Gesprächs im Kinderwagen; die anderen Kinder wurden durch die Dolmetscherin in einem Nebenraum betreut.</w:t>
      </w:r>
    </w:p>
    <w:p/>
    <w:p>
      <w:pPr>
        <w:pStyle w:val="Heading2"/>
      </w:pPr>
      <w:r>
        <w:rPr>
          <w:rFonts w:ascii="Times New Roman" w:hAnsi="Times New Roman"/>
        </w:rPr>
        <w:t>2. Vollmacht und Mandatsverhältnis</w:t>
      </w:r>
    </w:p>
    <w:p>
      <w:pPr>
        <w:jc w:val="left"/>
      </w:pPr>
      <w:r>
        <w:t>Beide Mandanten erteilten RAin Kollatz-Ahnen am 14.04.2026 schriftliche Prozessvollmacht. Die Vollmacht erstreckt sich auf:</w:t>
      </w:r>
    </w:p>
    <w:p>
      <w:pPr>
        <w:pStyle w:val="ListBullet"/>
      </w:pPr>
      <w:r>
        <w:t>Asylklage VG Hannover 4 A 4188/26 (alle Familienmitglieder als Kläger)</w:t>
      </w:r>
    </w:p>
    <w:p>
      <w:pPr>
        <w:pStyle w:val="ListBullet"/>
      </w:pPr>
      <w:r>
        <w:t>Dublin-IV-Eilverfahren (§ 80 Abs. 5 VwGO)</w:t>
      </w:r>
    </w:p>
    <w:p>
      <w:pPr>
        <w:pStyle w:val="ListBullet"/>
      </w:pPr>
      <w:r>
        <w:t>Familiennachzugsklage VG Berlin 38 K 88/26 (betr. Mahnoor Amiri)</w:t>
      </w:r>
    </w:p>
    <w:p>
      <w:pPr>
        <w:pStyle w:val="ListBullet"/>
      </w:pPr>
      <w:r>
        <w:t>Korrespondenz mit Ausländerbehörde Region Hannover</w:t>
      </w:r>
    </w:p>
    <w:p>
      <w:pPr>
        <w:pStyle w:val="ListBullet"/>
      </w:pPr>
      <w:r>
        <w:t>AsylbLG-Widerspruchsverfahren</w:t>
      </w:r>
    </w:p>
    <w:p>
      <w:pPr>
        <w:jc w:val="left"/>
      </w:pPr>
      <w:r>
        <w:t>Für das Strafverfahren gegen Reza Amiri (§ 95 AufenthG, § 267 StGB) wurde Einzelvollmacht ausgestellt; Koordination mit dem Pflichtverteidiger RA Karsten Wollberg ist vorgesehen.</w:t>
      </w:r>
    </w:p>
    <w:p/>
    <w:p>
      <w:pPr>
        <w:pStyle w:val="Heading2"/>
      </w:pPr>
      <w:r>
        <w:rPr>
          <w:rFonts w:ascii="Times New Roman" w:hAnsi="Times New Roman"/>
        </w:rPr>
        <w:t>3. Sachverhaltsaufnahme — Kurzfassung</w:t>
      </w:r>
    </w:p>
    <w:p>
      <w:pPr>
        <w:pStyle w:val="Heading3"/>
      </w:pPr>
      <w:r>
        <w:rPr>
          <w:rFonts w:ascii="Times New Roman" w:hAnsi="Times New Roman"/>
        </w:rPr>
        <w:t>3.1 Herkunft und familiäre Situation</w:t>
      </w:r>
    </w:p>
    <w:p>
      <w:pPr>
        <w:jc w:val="left"/>
      </w:pPr>
      <w:r>
        <w:t>Reza Amiri (geb. 12.03.1984, Mashhad) ist gelernter Elektroingenieur und arbeitete bis 2022 für ein staatlich nahes Telekommunikationsunternehmen in Mashhad. Shirin Hosseini-Tabrizi (geb. 07.09.1986, Täbris) ist Grundschullehrerin. Beide schildern, dass Reza durch einen Bekanntenkreis mit Bahai-Angehörigen in Kontakt geraten sei und sich ab 2021 intensiver mit dem christlichen Glauben beschäftigt habe. Im März 2023 sei er in einer Untergrundkirche in Mashhad getauft worden.</w:t>
      </w:r>
    </w:p>
    <w:p>
      <w:pPr>
        <w:jc w:val="left"/>
      </w:pPr>
      <w:r>
        <w:t>Shirin berichtet, sie sei durch Rezas Entwicklung religiös beeinflusst worden und habe sich dem Christentum angenähert, ohne formell konvertiert zu sein. Diese Überzeugungsänderung habe im sozialen Umfeld (Nachbarschaft, Schule, Familienmitglieder väterlicher Linie) zu Anfeindungen geführt.</w:t>
      </w:r>
    </w:p>
    <w:p>
      <w:pPr>
        <w:pStyle w:val="Heading3"/>
      </w:pPr>
      <w:r>
        <w:rPr>
          <w:rFonts w:ascii="Times New Roman" w:hAnsi="Times New Roman"/>
        </w:rPr>
        <w:t>3.2 Verfolgungs- und Bedrohungsereignisse im Iran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Juni 2023</w:t>
            </w:r>
          </w:p>
        </w:tc>
        <w:tc>
          <w:tcPr>
            <w:tcW w:type="dxa" w:w="4536"/>
          </w:tcPr>
          <w:p>
            <w:r>
              <w:rPr>
                <w:rFonts w:ascii="Times New Roman" w:hAnsi="Times New Roman"/>
                <w:sz w:val="20"/>
              </w:rPr>
              <w:t>Hausdurchsuchung durch Geheimdienst IRGC, Mitnahme von Laptop und Bahai-Literatur</w:t>
            </w:r>
          </w:p>
        </w:tc>
      </w:tr>
      <w:tr>
        <w:tc>
          <w:tcPr>
            <w:tcW w:type="dxa" w:w="4536"/>
          </w:tcPr>
          <w:p>
            <w:r>
              <w:rPr>
                <w:rFonts w:ascii="Times New Roman" w:hAnsi="Times New Roman"/>
                <w:sz w:val="20"/>
              </w:rPr>
              <w:t>August 2023</w:t>
            </w:r>
          </w:p>
        </w:tc>
        <w:tc>
          <w:tcPr>
            <w:tcW w:type="dxa" w:w="4536"/>
          </w:tcPr>
          <w:p>
            <w:r>
              <w:rPr>
                <w:rFonts w:ascii="Times New Roman" w:hAnsi="Times New Roman"/>
                <w:sz w:val="20"/>
              </w:rPr>
              <w:t>Vorladung Reza zur Befragung; er erscheint nicht und verlässt Mashhad</w:t>
            </w:r>
          </w:p>
        </w:tc>
      </w:tr>
      <w:tr>
        <w:tc>
          <w:tcPr>
            <w:tcW w:type="dxa" w:w="4536"/>
          </w:tcPr>
          <w:p>
            <w:r>
              <w:rPr>
                <w:rFonts w:ascii="Times New Roman" w:hAnsi="Times New Roman"/>
                <w:sz w:val="20"/>
              </w:rPr>
              <w:t>November 2023</w:t>
            </w:r>
          </w:p>
        </w:tc>
        <w:tc>
          <w:tcPr>
            <w:tcW w:type="dxa" w:w="4536"/>
          </w:tcPr>
          <w:p>
            <w:r>
              <w:rPr>
                <w:rFonts w:ascii="Times New Roman" w:hAnsi="Times New Roman"/>
                <w:sz w:val="20"/>
              </w:rPr>
              <w:t>Shirin erhält Verhörvorladung als Ehefrau; verweigert Aussage, wird freigelassen</w:t>
            </w:r>
          </w:p>
        </w:tc>
      </w:tr>
      <w:tr>
        <w:tc>
          <w:tcPr>
            <w:tcW w:type="dxa" w:w="4536"/>
          </w:tcPr>
          <w:p>
            <w:r>
              <w:rPr>
                <w:rFonts w:ascii="Times New Roman" w:hAnsi="Times New Roman"/>
                <w:sz w:val="20"/>
              </w:rPr>
              <w:t>Februar 2024</w:t>
            </w:r>
          </w:p>
        </w:tc>
        <w:tc>
          <w:tcPr>
            <w:tcW w:type="dxa" w:w="4536"/>
          </w:tcPr>
          <w:p>
            <w:r>
              <w:rPr>
                <w:rFonts w:ascii="Times New Roman" w:hAnsi="Times New Roman"/>
                <w:sz w:val="20"/>
              </w:rPr>
              <w:t>Schwägerin berichtet: Haftbefehl gegen Reza erlassen, Tatvorwurf „Gottlosigkeit"</w:t>
            </w:r>
          </w:p>
        </w:tc>
      </w:tr>
      <w:tr>
        <w:tc>
          <w:tcPr>
            <w:tcW w:type="dxa" w:w="4536"/>
          </w:tcPr>
          <w:p>
            <w:r>
              <w:rPr>
                <w:rFonts w:ascii="Times New Roman" w:hAnsi="Times New Roman"/>
                <w:sz w:val="20"/>
              </w:rPr>
              <w:t>April 2024</w:t>
            </w:r>
          </w:p>
        </w:tc>
        <w:tc>
          <w:tcPr>
            <w:tcW w:type="dxa" w:w="4536"/>
          </w:tcPr>
          <w:p>
            <w:r>
              <w:rPr>
                <w:rFonts w:ascii="Times New Roman" w:hAnsi="Times New Roman"/>
                <w:sz w:val="20"/>
              </w:rPr>
              <w:t>Mahnoor (Tochter, 19) berichtet von Überwachung der Wohnung</w:t>
            </w:r>
          </w:p>
        </w:tc>
      </w:tr>
      <w:tr>
        <w:tc>
          <w:tcPr>
            <w:tcW w:type="dxa" w:w="4536"/>
          </w:tcPr>
          <w:p>
            <w:r>
              <w:rPr>
                <w:rFonts w:ascii="Times New Roman" w:hAnsi="Times New Roman"/>
                <w:sz w:val="20"/>
              </w:rPr>
              <w:t>Januar 2025</w:t>
            </w:r>
          </w:p>
        </w:tc>
        <w:tc>
          <w:tcPr>
            <w:tcW w:type="dxa" w:w="4536"/>
          </w:tcPr>
          <w:p>
            <w:r>
              <w:rPr>
                <w:rFonts w:ascii="Times New Roman" w:hAnsi="Times New Roman"/>
                <w:sz w:val="20"/>
              </w:rPr>
              <w:t>Familie verlässt Iran illegal (Nacht) Richtung Türkei</w:t>
            </w:r>
          </w:p>
        </w:tc>
      </w:tr>
    </w:tbl>
    <w:p>
      <w:pPr>
        <w:pStyle w:val="Heading3"/>
      </w:pPr>
      <w:r>
        <w:rPr>
          <w:rFonts w:ascii="Times New Roman" w:hAnsi="Times New Roman"/>
        </w:rPr>
        <w:t>3.3 Einschätzung der Anwältin</w:t>
      </w:r>
    </w:p>
    <w:p>
      <w:pPr>
        <w:jc w:val="left"/>
      </w:pPr>
      <w:r>
        <w:t>Die geschilderten Ereignisse sind plausibel und gut in den bekannten Kontext staatlicher Verfolgung von Konvertiten im Iran eingebettet. Die BAMF-Ablehnung stützt sich auf angebliche Glaubhaftigkeitsdefizite — diese werden anwaltlich bestritten. Priorität:</w:t>
      </w:r>
    </w:p>
    <w:p>
      <w:pPr>
        <w:pStyle w:val="ListNumber"/>
      </w:pPr>
      <w:r>
        <w:t>Klagefristwahrung (bereits erfolgt durch Caritas-Erstschreiben vom 10.04.2026)</w:t>
      </w:r>
    </w:p>
    <w:p>
      <w:pPr>
        <w:pStyle w:val="ListNumber"/>
      </w:pPr>
      <w:r>
        <w:t>Dublin-Eilantrag (Überstellungsstopp)</w:t>
      </w:r>
    </w:p>
    <w:p>
      <w:pPr>
        <w:pStyle w:val="ListNumber"/>
      </w:pPr>
      <w:r>
        <w:t>Vollständige Beweissammlung zur Konversion</w:t>
      </w:r>
    </w:p>
    <w:p/>
    <w:p>
      <w:pPr>
        <w:pStyle w:val="Heading2"/>
      </w:pPr>
      <w:r>
        <w:rPr>
          <w:rFonts w:ascii="Times New Roman" w:hAnsi="Times New Roman"/>
        </w:rPr>
        <w:t>4. Nächste Schritte</w:t>
      </w:r>
    </w:p>
    <w:p>
      <w:pPr>
        <w:pStyle w:val="ListBullet"/>
      </w:pPr>
      <w:r>
        <w:t>[ ] Vollständige Klagebegründung VG Hannover bis 30.06.2026</w:t>
      </w:r>
    </w:p>
    <w:p>
      <w:pPr>
        <w:pStyle w:val="ListBullet"/>
      </w:pPr>
      <w:r>
        <w:t>[ ] Eilantrag § 80 Abs. 5 VwGO (Dublin) unverzüglich (Frist läuft)</w:t>
      </w:r>
    </w:p>
    <w:p>
      <w:pPr>
        <w:pStyle w:val="ListBullet"/>
      </w:pPr>
      <w:r>
        <w:t>[ ] Anforderung Länderinformationen BAMF/UNHCR Iran 2025</w:t>
      </w:r>
    </w:p>
    <w:p>
      <w:pPr>
        <w:pStyle w:val="ListBullet"/>
      </w:pPr>
      <w:r>
        <w:t>[ ] Zeugenbezeichnung: Pfarrer der Untergrundkirche (via Diaspora-Kontakt)</w:t>
      </w:r>
    </w:p>
    <w:p>
      <w:pPr>
        <w:pStyle w:val="ListBullet"/>
      </w:pPr>
      <w:r>
        <w:t>[ ] Koordination Caritas wegen AsylbLG-Kürzungsanfechtung</w:t>
      </w:r>
    </w:p>
    <w:p>
      <w:pPr>
        <w:pStyle w:val="ListBullet"/>
      </w:pPr>
      <w:r>
        <w:t>[ ] Attest MHH für Reza jr. anfordern</w:t>
      </w:r>
    </w:p>
    <w:p/>
    <w:p>
      <w:pPr>
        <w:pStyle w:val="Heading2"/>
      </w:pPr>
      <w:r>
        <w:rPr>
          <w:rFonts w:ascii="Times New Roman" w:hAnsi="Times New Roman"/>
        </w:rPr>
        <w:t>5. Hinweise zum Umgang mit den Mandanten</w:t>
      </w:r>
    </w:p>
    <w:p>
      <w:pPr>
        <w:jc w:val="left"/>
      </w:pPr>
      <w:r>
        <w:t>Die Familie hat schwere psychische Belastungen erlebt. Reza zeigt Anzeichen posttraumatischer Belastungsstörung (Schlafstörungen, Hypervigilanz — laut eigener Schilderung). Eine psychiatrische Begutachtung könnte sowohl für das Asylverfahren als auch für das Strafverfahren relevant werden. Frau Schröter-Bauer (Caritas) wird eine Traumatherapiestelle vermitteln.</w:t>
      </w:r>
    </w:p>
    <w:p>
      <w:pPr>
        <w:jc w:val="left"/>
      </w:pPr>
      <w:r>
        <w:t>Kommunikation bevorzugt: schriftlich via Caritas-E-Mail auf Deutsch mit Farsi-Zusammenfassung. Telefonisch nur nach Absprache.</w:t>
      </w:r>
    </w:p>
    <w:p/>
    <w:p>
      <w:pPr>
        <w:jc w:val="left"/>
      </w:pPr>
      <w:r>
        <w:rPr>
          <w:b/>
        </w:rPr>
        <w:t>Notiz erstellt:</w:t>
      </w:r>
      <w:r>
        <w:t xml:space="preserve"> 14.04.2026, RAin V. Kollatz-Ahnen</w:t>
      </w:r>
    </w:p>
    <w:p>
      <w:pPr>
        <w:jc w:val="left"/>
      </w:pPr>
      <w:r>
        <w:rPr>
          <w:b/>
        </w:rPr>
        <w:t>Geprüft:</w:t>
      </w:r>
      <w:r>
        <w:t xml:space="preserve"> 15.04.2026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