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Familienkonstellation und Verfolgungsgeschichte</w:t>
      </w:r>
    </w:p>
    <w:p>
      <w:pPr>
        <w:jc w:val="left"/>
      </w:pPr>
      <w:r>
        <w:rPr>
          <w:b/>
        </w:rPr>
        <w:t>Aktenzeichen:</w:t>
      </w:r>
      <w:r>
        <w:t xml:space="preserve"> VG Hannover 4 A 4188/26</w:t>
      </w:r>
    </w:p>
    <w:p>
      <w:pPr>
        <w:jc w:val="left"/>
      </w:pPr>
      <w:r>
        <w:rPr>
          <w:b/>
        </w:rPr>
        <w:t>Stand:</w:t>
      </w:r>
      <w:r>
        <w:t xml:space="preserve"> 14.04.2026</w:t>
      </w:r>
    </w:p>
    <w:p/>
    <w:p>
      <w:pPr>
        <w:pStyle w:val="Heading2"/>
      </w:pPr>
      <w:r>
        <w:rPr>
          <w:rFonts w:ascii="Times New Roman" w:hAnsi="Times New Roman"/>
        </w:rPr>
        <w:t>1. Familienmitglieder — Übersicht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Person</w:t>
            </w:r>
          </w:p>
        </w:tc>
        <w:tc>
          <w:tcPr>
            <w:tcW w:type="dxa" w:w="1814"/>
          </w:tcPr>
          <w:p>
            <w:r>
              <w:rPr>
                <w:rFonts w:ascii="Times New Roman" w:hAnsi="Times New Roman"/>
                <w:b/>
                <w:sz w:val="20"/>
              </w:rPr>
              <w:t>Rolle</w:t>
            </w:r>
          </w:p>
        </w:tc>
        <w:tc>
          <w:tcPr>
            <w:tcW w:type="dxa" w:w="1814"/>
          </w:tcPr>
          <w:p>
            <w:r>
              <w:rPr>
                <w:rFonts w:ascii="Times New Roman" w:hAnsi="Times New Roman"/>
                <w:b/>
                <w:sz w:val="20"/>
              </w:rPr>
              <w:t>Geb.</w:t>
            </w:r>
          </w:p>
        </w:tc>
        <w:tc>
          <w:tcPr>
            <w:tcW w:type="dxa" w:w="1814"/>
          </w:tcPr>
          <w:p>
            <w:r>
              <w:rPr>
                <w:rFonts w:ascii="Times New Roman" w:hAnsi="Times New Roman"/>
                <w:b/>
                <w:sz w:val="20"/>
              </w:rPr>
              <w:t>Geburtsort</w:t>
            </w:r>
          </w:p>
        </w:tc>
        <w:tc>
          <w:tcPr>
            <w:tcW w:type="dxa" w:w="1814"/>
          </w:tcPr>
          <w:p>
            <w:r>
              <w:rPr>
                <w:rFonts w:ascii="Times New Roman" w:hAnsi="Times New Roman"/>
                <w:b/>
                <w:sz w:val="20"/>
              </w:rPr>
              <w:t>Aufenthaltsstatus (DE)</w:t>
            </w:r>
          </w:p>
        </w:tc>
      </w:tr>
      <w:tr>
        <w:tc>
          <w:tcPr>
            <w:tcW w:type="dxa" w:w="1814"/>
          </w:tcPr>
          <w:p>
            <w:r>
              <w:rPr>
                <w:rFonts w:ascii="Times New Roman" w:hAnsi="Times New Roman"/>
                <w:sz w:val="20"/>
              </w:rPr>
              <w:t>Reza Amiri</w:t>
            </w:r>
          </w:p>
        </w:tc>
        <w:tc>
          <w:tcPr>
            <w:tcW w:type="dxa" w:w="1814"/>
          </w:tcPr>
          <w:p>
            <w:r>
              <w:rPr>
                <w:rFonts w:ascii="Times New Roman" w:hAnsi="Times New Roman"/>
                <w:sz w:val="20"/>
              </w:rPr>
              <w:t>Vater / Hauptantragsteller</w:t>
            </w:r>
          </w:p>
        </w:tc>
        <w:tc>
          <w:tcPr>
            <w:tcW w:type="dxa" w:w="1814"/>
          </w:tcPr>
          <w:p>
            <w:r>
              <w:rPr>
                <w:rFonts w:ascii="Times New Roman" w:hAnsi="Times New Roman"/>
                <w:sz w:val="20"/>
              </w:rPr>
              <w:t>12.03.1984</w:t>
            </w:r>
          </w:p>
        </w:tc>
        <w:tc>
          <w:tcPr>
            <w:tcW w:type="dxa" w:w="1814"/>
          </w:tcPr>
          <w:p>
            <w:r>
              <w:rPr>
                <w:rFonts w:ascii="Times New Roman" w:hAnsi="Times New Roman"/>
                <w:sz w:val="20"/>
              </w:rPr>
              <w:t>Mashhad</w:t>
            </w:r>
          </w:p>
        </w:tc>
        <w:tc>
          <w:tcPr>
            <w:tcW w:type="dxa" w:w="1814"/>
          </w:tcPr>
          <w:p>
            <w:r>
              <w:rPr>
                <w:rFonts w:ascii="Times New Roman" w:hAnsi="Times New Roman"/>
                <w:sz w:val="20"/>
              </w:rPr>
              <w:t>Aufenthaltsgestattung; Duldung wegen Strafverfahren möglich</w:t>
            </w:r>
          </w:p>
        </w:tc>
      </w:tr>
      <w:tr>
        <w:tc>
          <w:tcPr>
            <w:tcW w:type="dxa" w:w="1814"/>
          </w:tcPr>
          <w:p>
            <w:r>
              <w:rPr>
                <w:rFonts w:ascii="Times New Roman" w:hAnsi="Times New Roman"/>
                <w:sz w:val="20"/>
              </w:rPr>
              <w:t>Shirin Hosseini-Tabrizi</w:t>
            </w:r>
          </w:p>
        </w:tc>
        <w:tc>
          <w:tcPr>
            <w:tcW w:type="dxa" w:w="1814"/>
          </w:tcPr>
          <w:p>
            <w:r>
              <w:rPr>
                <w:rFonts w:ascii="Times New Roman" w:hAnsi="Times New Roman"/>
                <w:sz w:val="20"/>
              </w:rPr>
              <w:t>Mutter / Mitantragstellerin</w:t>
            </w:r>
          </w:p>
        </w:tc>
        <w:tc>
          <w:tcPr>
            <w:tcW w:type="dxa" w:w="1814"/>
          </w:tcPr>
          <w:p>
            <w:r>
              <w:rPr>
                <w:rFonts w:ascii="Times New Roman" w:hAnsi="Times New Roman"/>
                <w:sz w:val="20"/>
              </w:rPr>
              <w:t>07.09.1986</w:t>
            </w:r>
          </w:p>
        </w:tc>
        <w:tc>
          <w:tcPr>
            <w:tcW w:type="dxa" w:w="1814"/>
          </w:tcPr>
          <w:p>
            <w:r>
              <w:rPr>
                <w:rFonts w:ascii="Times New Roman" w:hAnsi="Times New Roman"/>
                <w:sz w:val="20"/>
              </w:rPr>
              <w:t>Täbris</w:t>
            </w:r>
          </w:p>
        </w:tc>
        <w:tc>
          <w:tcPr>
            <w:tcW w:type="dxa" w:w="1814"/>
          </w:tcPr>
          <w:p>
            <w:r>
              <w:rPr>
                <w:rFonts w:ascii="Times New Roman" w:hAnsi="Times New Roman"/>
                <w:sz w:val="20"/>
              </w:rPr>
              <w:t>Aufenthaltsgestattung</w:t>
            </w:r>
          </w:p>
        </w:tc>
      </w:tr>
      <w:tr>
        <w:tc>
          <w:tcPr>
            <w:tcW w:type="dxa" w:w="1814"/>
          </w:tcPr>
          <w:p>
            <w:r>
              <w:rPr>
                <w:rFonts w:ascii="Times New Roman" w:hAnsi="Times New Roman"/>
                <w:sz w:val="20"/>
              </w:rPr>
              <w:t>Darius Amiri</w:t>
            </w:r>
          </w:p>
        </w:tc>
        <w:tc>
          <w:tcPr>
            <w:tcW w:type="dxa" w:w="1814"/>
          </w:tcPr>
          <w:p>
            <w:r>
              <w:rPr>
                <w:rFonts w:ascii="Times New Roman" w:hAnsi="Times New Roman"/>
                <w:sz w:val="20"/>
              </w:rPr>
              <w:t>Sohn</w:t>
            </w:r>
          </w:p>
        </w:tc>
        <w:tc>
          <w:tcPr>
            <w:tcW w:type="dxa" w:w="1814"/>
          </w:tcPr>
          <w:p>
            <w:r>
              <w:rPr>
                <w:rFonts w:ascii="Times New Roman" w:hAnsi="Times New Roman"/>
                <w:sz w:val="20"/>
              </w:rPr>
              <w:t>02.06.2011</w:t>
            </w:r>
          </w:p>
        </w:tc>
        <w:tc>
          <w:tcPr>
            <w:tcW w:type="dxa" w:w="1814"/>
          </w:tcPr>
          <w:p>
            <w:r>
              <w:rPr>
                <w:rFonts w:ascii="Times New Roman" w:hAnsi="Times New Roman"/>
                <w:sz w:val="20"/>
              </w:rPr>
              <w:t>Mashhad</w:t>
            </w:r>
          </w:p>
        </w:tc>
        <w:tc>
          <w:tcPr>
            <w:tcW w:type="dxa" w:w="1814"/>
          </w:tcPr>
          <w:p>
            <w:r>
              <w:rPr>
                <w:rFonts w:ascii="Times New Roman" w:hAnsi="Times New Roman"/>
                <w:sz w:val="20"/>
              </w:rPr>
              <w:t>Aufenthaltsgestattung (abgeleitet)</w:t>
            </w:r>
          </w:p>
        </w:tc>
      </w:tr>
      <w:tr>
        <w:tc>
          <w:tcPr>
            <w:tcW w:type="dxa" w:w="1814"/>
          </w:tcPr>
          <w:p>
            <w:r>
              <w:rPr>
                <w:rFonts w:ascii="Times New Roman" w:hAnsi="Times New Roman"/>
                <w:sz w:val="20"/>
              </w:rPr>
              <w:t>Yasmin Amiri</w:t>
            </w:r>
          </w:p>
        </w:tc>
        <w:tc>
          <w:tcPr>
            <w:tcW w:type="dxa" w:w="1814"/>
          </w:tcPr>
          <w:p>
            <w:r>
              <w:rPr>
                <w:rFonts w:ascii="Times New Roman" w:hAnsi="Times New Roman"/>
                <w:sz w:val="20"/>
              </w:rPr>
              <w:t>Tochter</w:t>
            </w:r>
          </w:p>
        </w:tc>
        <w:tc>
          <w:tcPr>
            <w:tcW w:type="dxa" w:w="1814"/>
          </w:tcPr>
          <w:p>
            <w:r>
              <w:rPr>
                <w:rFonts w:ascii="Times New Roman" w:hAnsi="Times New Roman"/>
                <w:sz w:val="20"/>
              </w:rPr>
              <w:t>19.11.2014</w:t>
            </w:r>
          </w:p>
        </w:tc>
        <w:tc>
          <w:tcPr>
            <w:tcW w:type="dxa" w:w="1814"/>
          </w:tcPr>
          <w:p>
            <w:r>
              <w:rPr>
                <w:rFonts w:ascii="Times New Roman" w:hAnsi="Times New Roman"/>
                <w:sz w:val="20"/>
              </w:rPr>
              <w:t>Mashhad</w:t>
            </w:r>
          </w:p>
        </w:tc>
        <w:tc>
          <w:tcPr>
            <w:tcW w:type="dxa" w:w="1814"/>
          </w:tcPr>
          <w:p>
            <w:r>
              <w:rPr>
                <w:rFonts w:ascii="Times New Roman" w:hAnsi="Times New Roman"/>
                <w:sz w:val="20"/>
              </w:rPr>
              <w:t>Aufenthaltsgestattung (abgeleitet)</w:t>
            </w:r>
          </w:p>
        </w:tc>
      </w:tr>
      <w:tr>
        <w:tc>
          <w:tcPr>
            <w:tcW w:type="dxa" w:w="1814"/>
          </w:tcPr>
          <w:p>
            <w:r>
              <w:rPr>
                <w:rFonts w:ascii="Times New Roman" w:hAnsi="Times New Roman"/>
                <w:sz w:val="20"/>
              </w:rPr>
              <w:t>Bahar Amiri</w:t>
            </w:r>
          </w:p>
        </w:tc>
        <w:tc>
          <w:tcPr>
            <w:tcW w:type="dxa" w:w="1814"/>
          </w:tcPr>
          <w:p>
            <w:r>
              <w:rPr>
                <w:rFonts w:ascii="Times New Roman" w:hAnsi="Times New Roman"/>
                <w:sz w:val="20"/>
              </w:rPr>
              <w:t>Tochter</w:t>
            </w:r>
          </w:p>
        </w:tc>
        <w:tc>
          <w:tcPr>
            <w:tcW w:type="dxa" w:w="1814"/>
          </w:tcPr>
          <w:p>
            <w:r>
              <w:rPr>
                <w:rFonts w:ascii="Times New Roman" w:hAnsi="Times New Roman"/>
                <w:sz w:val="20"/>
              </w:rPr>
              <w:t>30.03.2019</w:t>
            </w:r>
          </w:p>
        </w:tc>
        <w:tc>
          <w:tcPr>
            <w:tcW w:type="dxa" w:w="1814"/>
          </w:tcPr>
          <w:p>
            <w:r>
              <w:rPr>
                <w:rFonts w:ascii="Times New Roman" w:hAnsi="Times New Roman"/>
                <w:sz w:val="20"/>
              </w:rPr>
              <w:t>Mashhad</w:t>
            </w:r>
          </w:p>
        </w:tc>
        <w:tc>
          <w:tcPr>
            <w:tcW w:type="dxa" w:w="1814"/>
          </w:tcPr>
          <w:p>
            <w:r>
              <w:rPr>
                <w:rFonts w:ascii="Times New Roman" w:hAnsi="Times New Roman"/>
                <w:sz w:val="20"/>
              </w:rPr>
              <w:t>Aufenthaltsgestattung (abgeleitet)</w:t>
            </w:r>
          </w:p>
        </w:tc>
      </w:tr>
      <w:tr>
        <w:tc>
          <w:tcPr>
            <w:tcW w:type="dxa" w:w="1814"/>
          </w:tcPr>
          <w:p>
            <w:r>
              <w:rPr>
                <w:rFonts w:ascii="Times New Roman" w:hAnsi="Times New Roman"/>
                <w:sz w:val="20"/>
              </w:rPr>
              <w:t>Reza Amiri jr.</w:t>
            </w:r>
          </w:p>
        </w:tc>
        <w:tc>
          <w:tcPr>
            <w:tcW w:type="dxa" w:w="1814"/>
          </w:tcPr>
          <w:p>
            <w:r>
              <w:rPr>
                <w:rFonts w:ascii="Times New Roman" w:hAnsi="Times New Roman"/>
                <w:sz w:val="20"/>
              </w:rPr>
              <w:t>Sohn (Säugling)</w:t>
            </w:r>
          </w:p>
        </w:tc>
        <w:tc>
          <w:tcPr>
            <w:tcW w:type="dxa" w:w="1814"/>
          </w:tcPr>
          <w:p>
            <w:r>
              <w:rPr>
                <w:rFonts w:ascii="Times New Roman" w:hAnsi="Times New Roman"/>
                <w:sz w:val="20"/>
              </w:rPr>
              <w:t>14.10.2024</w:t>
            </w:r>
          </w:p>
        </w:tc>
        <w:tc>
          <w:tcPr>
            <w:tcW w:type="dxa" w:w="1814"/>
          </w:tcPr>
          <w:p>
            <w:r>
              <w:rPr>
                <w:rFonts w:ascii="Times New Roman" w:hAnsi="Times New Roman"/>
                <w:sz w:val="20"/>
              </w:rPr>
              <w:t>Thessaloniki (GR)</w:t>
            </w:r>
          </w:p>
        </w:tc>
        <w:tc>
          <w:tcPr>
            <w:tcW w:type="dxa" w:w="1814"/>
          </w:tcPr>
          <w:p>
            <w:r>
              <w:rPr>
                <w:rFonts w:ascii="Times New Roman" w:hAnsi="Times New Roman"/>
                <w:sz w:val="20"/>
              </w:rPr>
              <w:t>Aufenthaltsgestattung; Duldungsantrag § 25 Abs. 5 AufenthG gestellt</w:t>
            </w:r>
          </w:p>
        </w:tc>
      </w:tr>
      <w:tr>
        <w:tc>
          <w:tcPr>
            <w:tcW w:type="dxa" w:w="1814"/>
          </w:tcPr>
          <w:p>
            <w:r>
              <w:rPr>
                <w:rFonts w:ascii="Times New Roman" w:hAnsi="Times New Roman"/>
                <w:sz w:val="20"/>
              </w:rPr>
              <w:t>Mahnoor Amiri</w:t>
            </w:r>
          </w:p>
        </w:tc>
        <w:tc>
          <w:tcPr>
            <w:tcW w:type="dxa" w:w="1814"/>
          </w:tcPr>
          <w:p>
            <w:r>
              <w:rPr>
                <w:rFonts w:ascii="Times New Roman" w:hAnsi="Times New Roman"/>
                <w:sz w:val="20"/>
              </w:rPr>
              <w:t>Tochter (volljährig)</w:t>
            </w:r>
          </w:p>
        </w:tc>
        <w:tc>
          <w:tcPr>
            <w:tcW w:type="dxa" w:w="1814"/>
          </w:tcPr>
          <w:p>
            <w:r>
              <w:rPr>
                <w:rFonts w:ascii="Times New Roman" w:hAnsi="Times New Roman"/>
                <w:sz w:val="20"/>
              </w:rPr>
              <w:t>03.02.2007</w:t>
            </w:r>
          </w:p>
        </w:tc>
        <w:tc>
          <w:tcPr>
            <w:tcW w:type="dxa" w:w="1814"/>
          </w:tcPr>
          <w:p>
            <w:r>
              <w:rPr>
                <w:rFonts w:ascii="Times New Roman" w:hAnsi="Times New Roman"/>
                <w:sz w:val="20"/>
              </w:rPr>
              <w:t>Mashhad</w:t>
            </w:r>
          </w:p>
        </w:tc>
        <w:tc>
          <w:tcPr>
            <w:tcW w:type="dxa" w:w="1814"/>
          </w:tcPr>
          <w:p>
            <w:r>
              <w:rPr>
                <w:rFonts w:ascii="Times New Roman" w:hAnsi="Times New Roman"/>
                <w:sz w:val="20"/>
              </w:rPr>
              <w:t>Im Iran verblieben; Visumsklage VG Berlin 38 K 88/26</w:t>
            </w:r>
          </w:p>
        </w:tc>
      </w:tr>
    </w:tbl>
    <w:p>
      <w:pPr>
        <w:ind w:left="567"/>
      </w:pPr>
      <w:r>
        <w:rPr>
          <w:i/>
        </w:rPr>
        <w:t>Hinweis: Reza jr. wurde während der Flucht in Griechenland geboren. Seine Staatsangehörigkeit ist ungeklärt (griechisches Standesamt verweigerte Beurkundung nach iranischem Recht, da Eltern Asylsuchende waren); ein iranischer Pass liegt nicht vor. Dieser Umstand ist für § 25 Abs. 5 AufenthG und das Dublin-Verfahren relevant.</w:t>
      </w:r>
    </w:p>
    <w:p/>
    <w:p>
      <w:pPr>
        <w:pStyle w:val="Heading2"/>
      </w:pPr>
      <w:r>
        <w:rPr>
          <w:rFonts w:ascii="Times New Roman" w:hAnsi="Times New Roman"/>
        </w:rPr>
        <w:t>2. Soziale und religiöse Hintergründe</w:t>
      </w:r>
    </w:p>
    <w:p>
      <w:pPr>
        <w:pStyle w:val="Heading3"/>
      </w:pPr>
      <w:r>
        <w:rPr>
          <w:rFonts w:ascii="Times New Roman" w:hAnsi="Times New Roman"/>
        </w:rPr>
        <w:t>2.1 Konfessionelle Ausgangslage</w:t>
      </w:r>
    </w:p>
    <w:p>
      <w:pPr>
        <w:jc w:val="left"/>
      </w:pPr>
      <w:r>
        <w:t>Beide Elternteile wurden als schiitische Muslime geboren. Iran ist ein islamischer Religionsstaat; Apostasie ist unter Umständen mit der Todesstrafe bedroht. Konversion vom Islam zu einer anderen Religion gilt als schwere Straftat nach dem iranischen Strafgesetzbuch (ta'zir-Vorschriften).</w:t>
      </w:r>
    </w:p>
    <w:p>
      <w:pPr>
        <w:jc w:val="left"/>
      </w:pPr>
      <w:r>
        <w:t>Reza beschreibt, er habe ab 2019 — ausgelöst durch berufliche Kontakte zu einem Bahai-Kollegen — begonnen, Fragen zum islamischen Glauben zu stellen. Ab 2021 habe er über Onlineressourcen und geheime Hauskreise Kontakt zu christlichen Gemeinden gefunden. Die Taufe erfolgte nach seiner Schilderung am 15.03.2023 durch Pastor Davood Rezaei in einem privaten Hauskreis in Mashhad.</w:t>
      </w:r>
    </w:p>
    <w:p>
      <w:pPr>
        <w:jc w:val="left"/>
      </w:pPr>
      <w:r>
        <w:t>Shirin beschreibt einen weniger formalen Prozess: Sie habe die christlichen Überzeugungen ihres Mannes zunehmend geteilt, jedoch keine Taufe vollzogen. Sie bete allein und verberge ihren Glauben auch in Deutschland noch aus Angst vor Landsleuten.</w:t>
      </w:r>
    </w:p>
    <w:p>
      <w:pPr>
        <w:pStyle w:val="Heading3"/>
      </w:pPr>
      <w:r>
        <w:rPr>
          <w:rFonts w:ascii="Times New Roman" w:hAnsi="Times New Roman"/>
        </w:rPr>
        <w:t>2.2 Bahai-Nähe</w:t>
      </w:r>
    </w:p>
    <w:p>
      <w:pPr>
        <w:jc w:val="left"/>
      </w:pPr>
      <w:r>
        <w:t>Reza gibt an, er habe zwischen 2020 und 2022 gelegentlich Bahai-Zusammenkünfte im privaten Rahmen besucht, sei aber nicht Mitglied der Bahai-Gemeinschaft geworden. Sein ehemaliger Arbeitskollege Farshid Golestan (Bahai) ist nach Kanada geflohen. Die Sicherheitsbehörden hätten diese Verbindung zum Anlass von Ermittlungen genommen.</w:t>
      </w:r>
    </w:p>
    <w:p>
      <w:pPr>
        <w:jc w:val="left"/>
      </w:pPr>
      <w:r>
        <w:t>Das BAMF hat im Ablehnungsbescheid (→ Aktenstück 05) sowohl die Konversionsüberzeugung als auch die Bahai-Nähe als unglaubhaft eingestuft. Diese Einschätzung wird anwaltlich vollständig bestritten.</w:t>
      </w:r>
    </w:p>
    <w:p/>
    <w:p>
      <w:pPr>
        <w:pStyle w:val="Heading2"/>
      </w:pPr>
      <w:r>
        <w:rPr>
          <w:rFonts w:ascii="Times New Roman" w:hAnsi="Times New Roman"/>
        </w:rPr>
        <w:t>3. Verfolgungschronologie Iran</w:t>
      </w:r>
    </w:p>
    <w:p>
      <w:pPr>
        <w:pStyle w:val="Heading3"/>
      </w:pPr>
      <w:r>
        <w:rPr>
          <w:rFonts w:ascii="Times New Roman" w:hAnsi="Times New Roman"/>
        </w:rPr>
        <w:t>3.1 Eskalation 2022–2024</w:t>
      </w:r>
    </w:p>
    <w:p>
      <w:pPr>
        <w:jc w:val="left"/>
      </w:pPr>
      <w:r>
        <w:t>Der iranische Geheimdienst (VEVAK) und die Revolutionsgarden (IRGC) verstärkten ab 2022 die Überwachung von Hauskirchen und Minderheitenreligionen, insbesondere nach den Massenprotesten (Mahsa-Amini-Bewegung). Reza geriet in diesen Kontext durch:</w:t>
      </w:r>
    </w:p>
    <w:p>
      <w:pPr>
        <w:jc w:val="left"/>
      </w:pPr>
      <w:r>
        <w:t>a) Registrierung in einem Bahai-Datenbestand, der nach der Verhaftung von Farshid Golestan ausgewertet wurde.</w:t>
      </w:r>
    </w:p>
    <w:p>
      <w:pPr>
        <w:jc w:val="left"/>
      </w:pPr>
      <w:r>
        <w:t>b) Bericht eines Nachbarn über ungewöhnliche Besucher.</w:t>
      </w:r>
    </w:p>
    <w:p>
      <w:pPr>
        <w:jc w:val="left"/>
      </w:pPr>
      <w:r>
        <w:t>c) SMS-Überwachung eines Mobiltelefons (verdächtige Kontakte).</w:t>
      </w:r>
    </w:p>
    <w:p>
      <w:pPr>
        <w:pStyle w:val="Heading3"/>
      </w:pPr>
      <w:r>
        <w:rPr>
          <w:rFonts w:ascii="Times New Roman" w:hAnsi="Times New Roman"/>
        </w:rPr>
        <w:t>3.2 Hausdurchsuchung Juni 2023</w:t>
      </w:r>
    </w:p>
    <w:p>
      <w:pPr>
        <w:jc w:val="left"/>
      </w:pPr>
      <w:r>
        <w:t>Am 17.06.2023 gegen 06:00 Uhr wurden Reza und Shirin durch sechs Personen in Zivil, die sich als IRGC-Angehörige auswiesen, in ihrer Wohnung durchsucht. Mitgenommen wurden:</w:t>
      </w:r>
    </w:p>
    <w:p>
      <w:pPr>
        <w:pStyle w:val="ListBullet"/>
      </w:pPr>
      <w:r>
        <w:t>Laptop (Reza)</w:t>
      </w:r>
    </w:p>
    <w:p>
      <w:pPr>
        <w:pStyle w:val="ListBullet"/>
      </w:pPr>
      <w:r>
        <w:t>Fünf Bücher (darunter ein Neues Testament in Farsi)</w:t>
      </w:r>
    </w:p>
    <w:p>
      <w:pPr>
        <w:pStyle w:val="ListBullet"/>
      </w:pPr>
      <w:r>
        <w:t>Zwei USB-Sticks</w:t>
      </w:r>
    </w:p>
    <w:p>
      <w:pPr>
        <w:pStyle w:val="ListBullet"/>
      </w:pPr>
      <w:r>
        <w:t>Handschriftliche Notizen</w:t>
      </w:r>
    </w:p>
    <w:p>
      <w:pPr>
        <w:jc w:val="left"/>
      </w:pPr>
      <w:r>
        <w:t>Shirin wurde kurz befragt, dann freigelassen. Reza wurde ca. drei Stunden festgehalten und über Kontakte zu ausländischen Organisationen befragt. Er verneinte; wurde ohne Festnahme entlassen, aber mit dem Hinweis, er solle sich bereithhalten.</w:t>
      </w:r>
    </w:p>
    <w:p>
      <w:pPr>
        <w:pStyle w:val="Heading3"/>
      </w:pPr>
      <w:r>
        <w:rPr>
          <w:rFonts w:ascii="Times New Roman" w:hAnsi="Times New Roman"/>
        </w:rPr>
        <w:t>3.3 Entwicklung August 2023 bis Januar 2025</w:t>
      </w:r>
    </w:p>
    <w:p>
      <w:pPr>
        <w:jc w:val="left"/>
      </w:pPr>
      <w:r>
        <w:t>Nach der Vorladung im August 2023 (Reza erschien nicht) lebte die Familie über 16 Monate teils bei Verwandten in verschiedenen Städten, teils in einer gemieteten Wohnung unter falschem Namen in Isfahan. Die Kinder konnten nicht zur Schule gehen. Die finanzielle Situation wurde durch den Verlust von Rezas Arbeitsstelle (fristlose Kündigung im November 2023 unter dem Vorwand mangelhafter Leistung) kritisch.</w:t>
      </w:r>
    </w:p>
    <w:p>
      <w:pPr>
        <w:jc w:val="left"/>
      </w:pPr>
      <w:r>
        <w:t>Mahnoor, die älteste Tochter, blieb während dieser Zeit in Mashhad, um die Wohnung zu bewachen und Kontakt zu Verwandten zu halten. Sie studierte Biologie an der Ferdowsi-Universität Mashhad.</w:t>
      </w:r>
    </w:p>
    <w:p/>
    <w:p>
      <w:pPr>
        <w:pStyle w:val="Heading2"/>
      </w:pPr>
      <w:r>
        <w:rPr>
          <w:rFonts w:ascii="Times New Roman" w:hAnsi="Times New Roman"/>
        </w:rPr>
        <w:t>4. Aufenthalt in Deutschland</w:t>
      </w:r>
    </w:p>
    <w:p>
      <w:pPr>
        <w:jc w:val="left"/>
      </w:pPr>
      <w:r>
        <w:t>Die Familie reiste am 18.03.2025 über Slowenien/Österreich nach Deutschland ein. Erstregistrierung erfolgte bei der Bundespolizeiinspektion Freilassing. Die Verteilung zur EAE Halberstadt (Sachsen-Anhalt) erfolgte am 22.03.2025. Nach dem EASY-Verteilungsschlüssel wurde die Familie Niedersachsen (Hannover) zugeteilt; Wohnsitzauflage Hannover-Bothfeld ab 05.05.2025.</w:t>
      </w:r>
    </w:p>
    <w:p>
      <w:pPr>
        <w:jc w:val="left"/>
      </w:pPr>
      <w:r>
        <w:t>Der Asylantrag wurde am 25.03.2025 in der EAE Halberstadt gestellt. Die BAMF-Anhörung fand am 28.01.2026 statt (Verzögerung durch Kapazitätsengpässe, mehrfach verschoben). Der Ablehnungsbescheid erging am 21.03.2026.</w:t>
      </w:r>
    </w:p>
    <w:p/>
    <w:p>
      <w:pPr>
        <w:pStyle w:val="Heading2"/>
      </w:pPr>
      <w:r>
        <w:rPr>
          <w:rFonts w:ascii="Times New Roman" w:hAnsi="Times New Roman"/>
        </w:rPr>
        <w:t>5. Mahnoor Amiri — besondere Situation</w:t>
      </w:r>
    </w:p>
    <w:p>
      <w:pPr>
        <w:jc w:val="left"/>
      </w:pPr>
      <w:r>
        <w:t>Mahnoor (19) studiert noch im Iran. Sie gilt als volljährig und wird daher nicht automatisch von einem etwaigen Schutzstatus der Eltern erfasst. § 36 AufenthG (Nachzug zu anerkannten Flüchtlingen) könnte greifen, wenn die Eltern anerkannt werden; alternativ eigenständiger Schutzstatus via Botschaftsasylantrag.</w:t>
      </w:r>
    </w:p>
    <w:p>
      <w:pPr>
        <w:jc w:val="left"/>
      </w:pPr>
      <w:r>
        <w:t>Die Deutsche Botschaft Teheran hat ihren Visumsantrag mit Bescheid vom 07.01.2026 abgelehnt (fehlende Nachweise für Integrations- und Lebensunterhaltssicherung; Visum zum Zweck des Familiennachzugs noch nicht anwendbar da Eltern keinen Aufenthaltstitel haben). Klage VG Berlin 38 K 88/26 ist anhängig.</w:t>
      </w:r>
    </w:p>
    <w:p/>
    <w:p>
      <w:pPr>
        <w:jc w:val="left"/>
      </w:pPr>
      <w:r>
        <w:rPr>
          <w:b/>
        </w:rPr>
        <w:t>Erstellt:</w:t>
      </w:r>
      <w:r>
        <w:t xml:space="preserve"> 14.04.2026, RAin V. Kollatz-Ahnen / Caritas-Beratung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