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EURODAC und Dublin-IV-Grundlagen</w:t>
      </w:r>
    </w:p>
    <w:p>
      <w:pPr>
        <w:jc w:val="left"/>
      </w:pPr>
      <w:r>
        <w:rPr>
          <w:b/>
        </w:rPr>
        <w:t>Aktenzeichen:</w:t>
      </w:r>
      <w:r>
        <w:t xml:space="preserve"> VG Hannover 4 A 4188/26 (Dublin-Teilkomplex)</w:t>
      </w:r>
    </w:p>
    <w:p>
      <w:pPr>
        <w:jc w:val="left"/>
      </w:pPr>
      <w:r>
        <w:rPr>
          <w:b/>
        </w:rPr>
        <w:t>Stand:</w:t>
      </w:r>
      <w:r>
        <w:t xml:space="preserve"> 15.04.2026</w:t>
      </w:r>
    </w:p>
    <w:p/>
    <w:p>
      <w:pPr>
        <w:pStyle w:val="Heading2"/>
      </w:pPr>
      <w:r>
        <w:rPr>
          <w:rFonts w:ascii="Times New Roman" w:hAnsi="Times New Roman"/>
        </w:rPr>
        <w:t>1. Rechtsrahmen</w:t>
      </w:r>
    </w:p>
    <w:p>
      <w:pPr>
        <w:pStyle w:val="Heading3"/>
      </w:pPr>
      <w:r>
        <w:rPr>
          <w:rFonts w:ascii="Times New Roman" w:hAnsi="Times New Roman"/>
        </w:rPr>
        <w:t>1.1 Dublin-IV-Verordnung</w:t>
      </w:r>
    </w:p>
    <w:p>
      <w:pPr>
        <w:jc w:val="left"/>
      </w:pPr>
      <w:r>
        <w:t>Die sogenannte „Dublin-IV-Verordnung" bezeichnet die Verordnung (EU) 2024/1351 des Europäischen Parlaments und des Rates vom 14. Mai 2024 über Asyl- und Migrationsmanagement (AMMVO), die die bisherige Dublin-III-Verordnung (VO (EU) Nr. 604/2013) ersetzt. Die AMMVO gilt für Asylanträge, die nach dem 1. Juli 2026 gestellt werden. Da der Asylantrag der Familie Amiri-Hosseini am 25.03.2025 und damit noch unter der Dublin-III-VO gestellt wurde, ist für dieses Verfahren noch die Dublin-III-VO (604/2013) maßgeblich — die Aktenstücke benutzen gleichwohl den verkürzten Begriff „Dublin-IV" entsprechend dem anwaltlichen Sprachgebrauch in Hannover.</w:t>
      </w:r>
    </w:p>
    <w:p>
      <w:pPr>
        <w:ind w:left="567"/>
      </w:pPr>
      <w:r>
        <w:rPr>
          <w:b/>
          <w:i/>
        </w:rPr>
        <w:t>Verfahrensrelevant:</w:t>
      </w:r>
      <w:r>
        <w:rPr>
          <w:i/>
        </w:rPr>
        <w:t xml:space="preserve"> Für den BAMF-Ablehnungsbescheid vom 21.03.2026 und die daraufhin ergangene Überstellungsverfügung gilt Dublin-III-VO als lex causae. Die AMMVO 2024/1351 ist in der Klagestrategie als Argument zu Weiterentwicklung heranzuziehen.</w:t>
      </w:r>
    </w:p>
    <w:p>
      <w:pPr>
        <w:pStyle w:val="Heading3"/>
      </w:pPr>
      <w:r>
        <w:rPr>
          <w:rFonts w:ascii="Times New Roman" w:hAnsi="Times New Roman"/>
        </w:rPr>
        <w:t>1.2 EURODAC-Verordnung</w:t>
      </w:r>
    </w:p>
    <w:p>
      <w:pPr>
        <w:jc w:val="left"/>
      </w:pPr>
      <w:r>
        <w:t>Die EURODAC-Datenbank wird auf Grundlage der Verordnung (EU) Nr. 603/2013 (EURODAC-VO) betrieben und speichert biometrische Daten (Fingerabdrücke) von Asylsuchenden und irregulär eingereisten Drittstaatsangehörigen. Ab 14 Jahren werden Fingerabdrücke zwingend erfasst (Art. 9 EURODAC-VO). Kinder unter 14 Jahren werden nur erfasst, wenn sie mit einem Asylsuchenden gemeinsam registriert werden und die Mitgliedstaaten davon abweichen (unterschiedliche Praxis).</w:t>
      </w:r>
    </w:p>
    <w:p/>
    <w:p>
      <w:pPr>
        <w:pStyle w:val="Heading2"/>
      </w:pPr>
      <w:r>
        <w:rPr>
          <w:rFonts w:ascii="Times New Roman" w:hAnsi="Times New Roman"/>
        </w:rPr>
        <w:t>2. Zuständigkeitskriterien nach Dublin-III-VO</w:t>
      </w:r>
    </w:p>
    <w:p>
      <w:pPr>
        <w:jc w:val="left"/>
      </w:pPr>
      <w:r>
        <w:t>Art. 3 Abs. 1 Dublin-III-VO: Grundsätzlich bearbeitet derjenige Mitgliedstaat den Asylantrag, der nach den Kriterien des Kapitels III als zuständig bestimmt wird. Die Kriterien sind hierarchisch geordnet: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Priorität</w:t>
            </w:r>
          </w:p>
        </w:tc>
        <w:tc>
          <w:tcPr>
            <w:tcW w:type="dxa" w:w="3024"/>
          </w:tcPr>
          <w:p>
            <w:r>
              <w:rPr>
                <w:rFonts w:ascii="Times New Roman" w:hAnsi="Times New Roman"/>
                <w:b/>
                <w:sz w:val="20"/>
              </w:rPr>
              <w:t>Kriterium</w:t>
            </w:r>
          </w:p>
        </w:tc>
        <w:tc>
          <w:tcPr>
            <w:tcW w:type="dxa" w:w="3024"/>
          </w:tcPr>
          <w:p>
            <w:r>
              <w:rPr>
                <w:rFonts w:ascii="Times New Roman" w:hAnsi="Times New Roman"/>
                <w:b/>
                <w:sz w:val="20"/>
              </w:rPr>
              <w:t>Artikel Dublin-III-VO</w:t>
            </w:r>
          </w:p>
        </w:tc>
      </w:tr>
      <w:tr>
        <w:tc>
          <w:tcPr>
            <w:tcW w:type="dxa" w:w="3024"/>
          </w:tcPr>
          <w:p>
            <w:r>
              <w:rPr>
                <w:rFonts w:ascii="Times New Roman" w:hAnsi="Times New Roman"/>
                <w:sz w:val="20"/>
              </w:rPr>
              <w:t>1</w:t>
            </w:r>
          </w:p>
        </w:tc>
        <w:tc>
          <w:tcPr>
            <w:tcW w:type="dxa" w:w="3024"/>
          </w:tcPr>
          <w:p>
            <w:r>
              <w:rPr>
                <w:rFonts w:ascii="Times New Roman" w:hAnsi="Times New Roman"/>
                <w:sz w:val="20"/>
              </w:rPr>
              <w:t>Unbegleitete Minderjährige</w:t>
            </w:r>
          </w:p>
        </w:tc>
        <w:tc>
          <w:tcPr>
            <w:tcW w:type="dxa" w:w="3024"/>
          </w:tcPr>
          <w:p>
            <w:r>
              <w:rPr>
                <w:rFonts w:ascii="Times New Roman" w:hAnsi="Times New Roman"/>
                <w:sz w:val="20"/>
              </w:rPr>
              <w:t>Art. 8</w:t>
            </w:r>
          </w:p>
        </w:tc>
      </w:tr>
      <w:tr>
        <w:tc>
          <w:tcPr>
            <w:tcW w:type="dxa" w:w="3024"/>
          </w:tcPr>
          <w:p>
            <w:r>
              <w:rPr>
                <w:rFonts w:ascii="Times New Roman" w:hAnsi="Times New Roman"/>
                <w:sz w:val="20"/>
              </w:rPr>
              <w:t>2</w:t>
            </w:r>
          </w:p>
        </w:tc>
        <w:tc>
          <w:tcPr>
            <w:tcW w:type="dxa" w:w="3024"/>
          </w:tcPr>
          <w:p>
            <w:r>
              <w:rPr>
                <w:rFonts w:ascii="Times New Roman" w:hAnsi="Times New Roman"/>
                <w:sz w:val="20"/>
              </w:rPr>
              <w:t>Familienangehörige (Eltern, Ehepartner) mit Schutzstatus im MS</w:t>
            </w:r>
          </w:p>
        </w:tc>
        <w:tc>
          <w:tcPr>
            <w:tcW w:type="dxa" w:w="3024"/>
          </w:tcPr>
          <w:p>
            <w:r>
              <w:rPr>
                <w:rFonts w:ascii="Times New Roman" w:hAnsi="Times New Roman"/>
                <w:sz w:val="20"/>
              </w:rPr>
              <w:t>Art. 9, 10</w:t>
            </w:r>
          </w:p>
        </w:tc>
      </w:tr>
      <w:tr>
        <w:tc>
          <w:tcPr>
            <w:tcW w:type="dxa" w:w="3024"/>
          </w:tcPr>
          <w:p>
            <w:r>
              <w:rPr>
                <w:rFonts w:ascii="Times New Roman" w:hAnsi="Times New Roman"/>
                <w:sz w:val="20"/>
              </w:rPr>
              <w:t>3</w:t>
            </w:r>
          </w:p>
        </w:tc>
        <w:tc>
          <w:tcPr>
            <w:tcW w:type="dxa" w:w="3024"/>
          </w:tcPr>
          <w:p>
            <w:r>
              <w:rPr>
                <w:rFonts w:ascii="Times New Roman" w:hAnsi="Times New Roman"/>
                <w:sz w:val="20"/>
              </w:rPr>
              <w:t>Familienangehörige (Antragsteller) in anderem MS</w:t>
            </w:r>
          </w:p>
        </w:tc>
        <w:tc>
          <w:tcPr>
            <w:tcW w:type="dxa" w:w="3024"/>
          </w:tcPr>
          <w:p>
            <w:r>
              <w:rPr>
                <w:rFonts w:ascii="Times New Roman" w:hAnsi="Times New Roman"/>
                <w:sz w:val="20"/>
              </w:rPr>
              <w:t>Art. 11</w:t>
            </w:r>
          </w:p>
        </w:tc>
      </w:tr>
      <w:tr>
        <w:tc>
          <w:tcPr>
            <w:tcW w:type="dxa" w:w="3024"/>
          </w:tcPr>
          <w:p>
            <w:r>
              <w:rPr>
                <w:rFonts w:ascii="Times New Roman" w:hAnsi="Times New Roman"/>
                <w:sz w:val="20"/>
              </w:rPr>
              <w:t>4</w:t>
            </w:r>
          </w:p>
        </w:tc>
        <w:tc>
          <w:tcPr>
            <w:tcW w:type="dxa" w:w="3024"/>
          </w:tcPr>
          <w:p>
            <w:r>
              <w:rPr>
                <w:rFonts w:ascii="Times New Roman" w:hAnsi="Times New Roman"/>
                <w:sz w:val="20"/>
              </w:rPr>
              <w:t>Familieneinheit (gemeinsam gestellte Anträge)</w:t>
            </w:r>
          </w:p>
        </w:tc>
        <w:tc>
          <w:tcPr>
            <w:tcW w:type="dxa" w:w="3024"/>
          </w:tcPr>
          <w:p>
            <w:r>
              <w:rPr>
                <w:rFonts w:ascii="Times New Roman" w:hAnsi="Times New Roman"/>
                <w:sz w:val="20"/>
              </w:rPr>
              <w:t>Art. 11</w:t>
            </w:r>
          </w:p>
        </w:tc>
      </w:tr>
      <w:tr>
        <w:tc>
          <w:tcPr>
            <w:tcW w:type="dxa" w:w="3024"/>
          </w:tcPr>
          <w:p>
            <w:r>
              <w:rPr>
                <w:rFonts w:ascii="Times New Roman" w:hAnsi="Times New Roman"/>
                <w:sz w:val="20"/>
              </w:rPr>
              <w:t>5</w:t>
            </w:r>
          </w:p>
        </w:tc>
        <w:tc>
          <w:tcPr>
            <w:tcW w:type="dxa" w:w="3024"/>
          </w:tcPr>
          <w:p>
            <w:r>
              <w:rPr>
                <w:rFonts w:ascii="Times New Roman" w:hAnsi="Times New Roman"/>
                <w:sz w:val="20"/>
              </w:rPr>
              <w:t>Visumerteilung / Aufenthaltstitel</w:t>
            </w:r>
          </w:p>
        </w:tc>
        <w:tc>
          <w:tcPr>
            <w:tcW w:type="dxa" w:w="3024"/>
          </w:tcPr>
          <w:p>
            <w:r>
              <w:rPr>
                <w:rFonts w:ascii="Times New Roman" w:hAnsi="Times New Roman"/>
                <w:sz w:val="20"/>
              </w:rPr>
              <w:t>Art. 12</w:t>
            </w:r>
          </w:p>
        </w:tc>
      </w:tr>
      <w:tr>
        <w:tc>
          <w:tcPr>
            <w:tcW w:type="dxa" w:w="3024"/>
          </w:tcPr>
          <w:p>
            <w:r>
              <w:rPr>
                <w:rFonts w:ascii="Times New Roman" w:hAnsi="Times New Roman"/>
                <w:sz w:val="20"/>
              </w:rPr>
              <w:t>6</w:t>
            </w:r>
          </w:p>
        </w:tc>
        <w:tc>
          <w:tcPr>
            <w:tcW w:type="dxa" w:w="3024"/>
          </w:tcPr>
          <w:p>
            <w:r>
              <w:rPr>
                <w:rFonts w:ascii="Times New Roman" w:hAnsi="Times New Roman"/>
                <w:sz w:val="20"/>
              </w:rPr>
              <w:t>Irregulärer Grenzübertritt</w:t>
            </w:r>
          </w:p>
        </w:tc>
        <w:tc>
          <w:tcPr>
            <w:tcW w:type="dxa" w:w="3024"/>
          </w:tcPr>
          <w:p>
            <w:r>
              <w:rPr>
                <w:rFonts w:ascii="Times New Roman" w:hAnsi="Times New Roman"/>
                <w:sz w:val="20"/>
              </w:rPr>
              <w:t>Art. 13</w:t>
            </w:r>
          </w:p>
        </w:tc>
      </w:tr>
      <w:tr>
        <w:tc>
          <w:tcPr>
            <w:tcW w:type="dxa" w:w="3024"/>
          </w:tcPr>
          <w:p>
            <w:r>
              <w:rPr>
                <w:rFonts w:ascii="Times New Roman" w:hAnsi="Times New Roman"/>
                <w:sz w:val="20"/>
              </w:rPr>
              <w:t>7</w:t>
            </w:r>
          </w:p>
        </w:tc>
        <w:tc>
          <w:tcPr>
            <w:tcW w:type="dxa" w:w="3024"/>
          </w:tcPr>
          <w:p>
            <w:r>
              <w:rPr>
                <w:rFonts w:ascii="Times New Roman" w:hAnsi="Times New Roman"/>
                <w:sz w:val="20"/>
              </w:rPr>
              <w:t>Aufhebung der Visumspflicht</w:t>
            </w:r>
          </w:p>
        </w:tc>
        <w:tc>
          <w:tcPr>
            <w:tcW w:type="dxa" w:w="3024"/>
          </w:tcPr>
          <w:p>
            <w:r>
              <w:rPr>
                <w:rFonts w:ascii="Times New Roman" w:hAnsi="Times New Roman"/>
                <w:sz w:val="20"/>
              </w:rPr>
              <w:t>Art. 14</w:t>
            </w:r>
          </w:p>
        </w:tc>
      </w:tr>
      <w:tr>
        <w:tc>
          <w:tcPr>
            <w:tcW w:type="dxa" w:w="3024"/>
          </w:tcPr>
          <w:p>
            <w:r>
              <w:rPr>
                <w:rFonts w:ascii="Times New Roman" w:hAnsi="Times New Roman"/>
                <w:sz w:val="20"/>
              </w:rPr>
              <w:t>8</w:t>
            </w:r>
          </w:p>
        </w:tc>
        <w:tc>
          <w:tcPr>
            <w:tcW w:type="dxa" w:w="3024"/>
          </w:tcPr>
          <w:p>
            <w:r>
              <w:rPr>
                <w:rFonts w:ascii="Times New Roman" w:hAnsi="Times New Roman"/>
                <w:sz w:val="20"/>
              </w:rPr>
              <w:t>Antragsstellung in internationalem Transit</w:t>
            </w:r>
          </w:p>
        </w:tc>
        <w:tc>
          <w:tcPr>
            <w:tcW w:type="dxa" w:w="3024"/>
          </w:tcPr>
          <w:p>
            <w:r>
              <w:rPr>
                <w:rFonts w:ascii="Times New Roman" w:hAnsi="Times New Roman"/>
                <w:sz w:val="20"/>
              </w:rPr>
              <w:t>Art. 15</w:t>
            </w:r>
          </w:p>
        </w:tc>
      </w:tr>
      <w:tr>
        <w:tc>
          <w:tcPr>
            <w:tcW w:type="dxa" w:w="3024"/>
          </w:tcPr>
          <w:p>
            <w:r>
              <w:rPr>
                <w:rFonts w:ascii="Times New Roman" w:hAnsi="Times New Roman"/>
                <w:sz w:val="20"/>
              </w:rPr>
              <w:t>9</w:t>
            </w:r>
          </w:p>
        </w:tc>
        <w:tc>
          <w:tcPr>
            <w:tcW w:type="dxa" w:w="3024"/>
          </w:tcPr>
          <w:p>
            <w:r>
              <w:rPr>
                <w:rFonts w:ascii="Times New Roman" w:hAnsi="Times New Roman"/>
                <w:sz w:val="20"/>
              </w:rPr>
              <w:t>Zuständigkeit kraft Ermessens (Selbsteintritt)</w:t>
            </w:r>
          </w:p>
        </w:tc>
        <w:tc>
          <w:tcPr>
            <w:tcW w:type="dxa" w:w="3024"/>
          </w:tcPr>
          <w:p>
            <w:r>
              <w:rPr>
                <w:rFonts w:ascii="Times New Roman" w:hAnsi="Times New Roman"/>
                <w:sz w:val="20"/>
              </w:rPr>
              <w:t>Art. 17</w:t>
            </w:r>
          </w:p>
        </w:tc>
      </w:tr>
    </w:tbl>
    <w:p>
      <w:pPr>
        <w:pStyle w:val="Heading3"/>
      </w:pPr>
      <w:r>
        <w:rPr>
          <w:rFonts w:ascii="Times New Roman" w:hAnsi="Times New Roman"/>
        </w:rPr>
        <w:t>2.1 Anwendung auf Familie Amiri-Hosseini</w:t>
      </w:r>
    </w:p>
    <w:p>
      <w:pPr>
        <w:jc w:val="left"/>
      </w:pPr>
      <w:r>
        <w:rPr>
          <w:b/>
        </w:rPr>
        <w:t>Art. 11 Dublin-III-VO (Familieneinheit):</w:t>
      </w:r>
      <w:r>
        <w:t xml:space="preserve"> Die Angehörigen der Familie haben Anträge in Deutschland gemeinsam gestellt. Art. 11 regelt, dass für den Fall, dass mehrere Familienangehörige gleichzeitig oder in kurzem zeitlichen Abstand Anträge stellen, vorrangig der Mitgliedstaat zuständig ist, der für die größte Anzahl der Familienmitglieder zuständig wäre, oder — falls das keine Einigung bringt — derjenige, der für den Ältesten zuständig ist.</w:t>
      </w:r>
    </w:p>
    <w:p>
      <w:pPr>
        <w:jc w:val="left"/>
      </w:pPr>
      <w:r>
        <w:t>Die Anwendung von Art. 11 wird im vorliegenden Fall durch die gespaltene EURODAC-Registrierung (Vater → Kroatien, Rest → Griechenland) verkompliziert. Das BAMF hat in der Überstellungsverfügung Kroatien als zuständigen Staat für Reza und Griechenland als zuständigen Staat für Shirin und die Kinder benannt — was eine Familientrennung faktisch impliziert und anwaltlich angegriffen wird.</w:t>
      </w:r>
    </w:p>
    <w:p>
      <w:pPr>
        <w:jc w:val="left"/>
      </w:pPr>
      <w:r>
        <w:rPr>
          <w:b/>
        </w:rPr>
        <w:t>Art. 16 Dublin-III-VO (humanitäre Klausel):</w:t>
      </w:r>
      <w:r>
        <w:t xml:space="preserve"> Dieser Artikel schützt abhängige Familienangehörige, die auf Unterstützung angewiesen sind. Reza jr. mit seinem Herzleiden und die Pflegebedürfnisse durch Shirin erfüllen die Voraussetzungen für eine Zusammenführung nach Deutschland (als Land, in dem der Antrag gestellt wurde). Das BAMF hat diesen Gesichtspunkt nicht hinreichend gewichtet.</w:t>
      </w:r>
    </w:p>
    <w:p>
      <w:pPr>
        <w:jc w:val="left"/>
      </w:pPr>
      <w:r>
        <w:rPr>
          <w:b/>
        </w:rPr>
        <w:t>Art. 17 Dublin-III-VO (Selbsteintritt):</w:t>
      </w:r>
      <w:r>
        <w:t xml:space="preserve"> Deutschland kann jederzeit von seinem Selbsteintrittsrecht Gebrauch machen und das Asylverfahren trotz formell abweichender Zuständigkeit selbst führen. Dieser Antrag ist im Eilverfahren zu stellen.</w:t>
      </w:r>
    </w:p>
    <w:p/>
    <w:p>
      <w:pPr>
        <w:pStyle w:val="Heading2"/>
      </w:pPr>
      <w:r>
        <w:rPr>
          <w:rFonts w:ascii="Times New Roman" w:hAnsi="Times New Roman"/>
        </w:rPr>
        <w:t>3. Überstellungsfristen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Frist</w:t>
            </w:r>
          </w:p>
        </w:tc>
        <w:tc>
          <w:tcPr>
            <w:tcW w:type="dxa" w:w="3024"/>
          </w:tcPr>
          <w:p>
            <w:r>
              <w:rPr>
                <w:rFonts w:ascii="Times New Roman" w:hAnsi="Times New Roman"/>
                <w:b/>
                <w:sz w:val="20"/>
              </w:rPr>
              <w:t>Dauer</w:t>
            </w:r>
          </w:p>
        </w:tc>
        <w:tc>
          <w:tcPr>
            <w:tcW w:type="dxa" w:w="3024"/>
          </w:tcPr>
          <w:p>
            <w:r>
              <w:rPr>
                <w:rFonts w:ascii="Times New Roman" w:hAnsi="Times New Roman"/>
                <w:b/>
                <w:sz w:val="20"/>
              </w:rPr>
              <w:t>Fristbeginn</w:t>
            </w:r>
          </w:p>
        </w:tc>
      </w:tr>
      <w:tr>
        <w:tc>
          <w:tcPr>
            <w:tcW w:type="dxa" w:w="3024"/>
          </w:tcPr>
          <w:p>
            <w:r>
              <w:rPr>
                <w:rFonts w:ascii="Times New Roman" w:hAnsi="Times New Roman"/>
                <w:sz w:val="20"/>
              </w:rPr>
              <w:t>Annahmefrist nach Aufnahmeersuchen</w:t>
            </w:r>
          </w:p>
        </w:tc>
        <w:tc>
          <w:tcPr>
            <w:tcW w:type="dxa" w:w="3024"/>
          </w:tcPr>
          <w:p>
            <w:r>
              <w:rPr>
                <w:rFonts w:ascii="Times New Roman" w:hAnsi="Times New Roman"/>
                <w:sz w:val="20"/>
              </w:rPr>
              <w:t>2 Monate</w:t>
            </w:r>
          </w:p>
        </w:tc>
        <w:tc>
          <w:tcPr>
            <w:tcW w:type="dxa" w:w="3024"/>
          </w:tcPr>
          <w:p>
            <w:r>
              <w:rPr>
                <w:rFonts w:ascii="Times New Roman" w:hAnsi="Times New Roman"/>
                <w:sz w:val="20"/>
              </w:rPr>
              <w:t>Ab Eingang des Ersuchens (Art. 22 Abs. 1 Dublin-III-VO)</w:t>
            </w:r>
          </w:p>
        </w:tc>
      </w:tr>
      <w:tr>
        <w:tc>
          <w:tcPr>
            <w:tcW w:type="dxa" w:w="3024"/>
          </w:tcPr>
          <w:p>
            <w:r>
              <w:rPr>
                <w:rFonts w:ascii="Times New Roman" w:hAnsi="Times New Roman"/>
                <w:sz w:val="20"/>
              </w:rPr>
              <w:t>Überstellungsfrist (Normalfall)</w:t>
            </w:r>
          </w:p>
        </w:tc>
        <w:tc>
          <w:tcPr>
            <w:tcW w:type="dxa" w:w="3024"/>
          </w:tcPr>
          <w:p>
            <w:r>
              <w:rPr>
                <w:rFonts w:ascii="Times New Roman" w:hAnsi="Times New Roman"/>
                <w:sz w:val="20"/>
              </w:rPr>
              <w:t>6 Monate</w:t>
            </w:r>
          </w:p>
        </w:tc>
        <w:tc>
          <w:tcPr>
            <w:tcW w:type="dxa" w:w="3024"/>
          </w:tcPr>
          <w:p>
            <w:r>
              <w:rPr>
                <w:rFonts w:ascii="Times New Roman" w:hAnsi="Times New Roman"/>
                <w:sz w:val="20"/>
              </w:rPr>
              <w:t>Ab Annahme durch den ersuchten Staat (Art. 29 Abs. 1 Dublin-III-VO)</w:t>
            </w:r>
          </w:p>
        </w:tc>
      </w:tr>
      <w:tr>
        <w:tc>
          <w:tcPr>
            <w:tcW w:type="dxa" w:w="3024"/>
          </w:tcPr>
          <w:p>
            <w:r>
              <w:rPr>
                <w:rFonts w:ascii="Times New Roman" w:hAnsi="Times New Roman"/>
                <w:sz w:val="20"/>
              </w:rPr>
              <w:t>Überstellungsfrist (Flüchtig)</w:t>
            </w:r>
          </w:p>
        </w:tc>
        <w:tc>
          <w:tcPr>
            <w:tcW w:type="dxa" w:w="3024"/>
          </w:tcPr>
          <w:p>
            <w:r>
              <w:rPr>
                <w:rFonts w:ascii="Times New Roman" w:hAnsi="Times New Roman"/>
                <w:sz w:val="20"/>
              </w:rPr>
              <w:t>18 Monate</w:t>
            </w:r>
          </w:p>
        </w:tc>
        <w:tc>
          <w:tcPr>
            <w:tcW w:type="dxa" w:w="3024"/>
          </w:tcPr>
          <w:p>
            <w:r>
              <w:rPr>
                <w:rFonts w:ascii="Times New Roman" w:hAnsi="Times New Roman"/>
                <w:sz w:val="20"/>
              </w:rPr>
              <w:t>Falls Person flüchtig (Art. 29 Abs. 2)</w:t>
            </w:r>
          </w:p>
        </w:tc>
      </w:tr>
      <w:tr>
        <w:tc>
          <w:tcPr>
            <w:tcW w:type="dxa" w:w="3024"/>
          </w:tcPr>
          <w:p>
            <w:r>
              <w:rPr>
                <w:rFonts w:ascii="Times New Roman" w:hAnsi="Times New Roman"/>
                <w:sz w:val="20"/>
              </w:rPr>
              <w:t>Überstellungsfrist (Strafhaft)</w:t>
            </w:r>
          </w:p>
        </w:tc>
        <w:tc>
          <w:tcPr>
            <w:tcW w:type="dxa" w:w="3024"/>
          </w:tcPr>
          <w:p>
            <w:r>
              <w:rPr>
                <w:rFonts w:ascii="Times New Roman" w:hAnsi="Times New Roman"/>
                <w:sz w:val="20"/>
              </w:rPr>
              <w:t>12 Monate</w:t>
            </w:r>
          </w:p>
        </w:tc>
        <w:tc>
          <w:tcPr>
            <w:tcW w:type="dxa" w:w="3024"/>
          </w:tcPr>
          <w:p>
            <w:r>
              <w:rPr>
                <w:rFonts w:ascii="Times New Roman" w:hAnsi="Times New Roman"/>
                <w:sz w:val="20"/>
              </w:rPr>
              <w:t>Falls Person in Haft (Art. 29 Abs. 2)</w:t>
            </w:r>
          </w:p>
        </w:tc>
      </w:tr>
    </w:tbl>
    <w:p>
      <w:pPr>
        <w:jc w:val="left"/>
      </w:pPr>
      <w:r>
        <w:t>Im vorliegenden Fall wurde die Überstellungsverfügung am 21.03.2026 erlassen. Das Aufnahmeersuchen an Kroatien/Griechenland erfolgte nach Aktenlage bereits im November 2025; Kroatien hat am 10.01.2026 positiv geantwortet, Griechenland am 17.01.2026. Die 6-Monats-Überstellungsfrist läuft theoretisch ab Januar 2026 — de facto ist sie wegen des Eilantrags (suspensiv aufschiebend) gehemmt.</w:t>
      </w:r>
    </w:p>
    <w:p/>
    <w:p>
      <w:pPr>
        <w:pStyle w:val="Heading2"/>
      </w:pPr>
      <w:r>
        <w:rPr>
          <w:rFonts w:ascii="Times New Roman" w:hAnsi="Times New Roman"/>
        </w:rPr>
        <w:t>4. Systemische Mängel und europarechtliche Grenzen</w:t>
      </w:r>
    </w:p>
    <w:p>
      <w:pPr>
        <w:pStyle w:val="Heading3"/>
      </w:pPr>
      <w:r>
        <w:rPr>
          <w:rFonts w:ascii="Times New Roman" w:hAnsi="Times New Roman"/>
        </w:rPr>
        <w:t>4.1 Griechenland</w:t>
      </w:r>
    </w:p>
    <w:p>
      <w:pPr>
        <w:jc w:val="left"/>
      </w:pPr>
      <w:r>
        <w:t>Der EuGH (Rs. C-411/10 und C-493/10, „NS und M.E.", Urt. v. 21.12.2011) hat entschieden, dass eine Überstellung in einen Mitgliedstaat unzulässig ist, wenn ernsthafte Gründe für die Annahme bestehen, dass das dortige Asylverfahren und die Aufnahmebedingungen systemische Mängel aufweisen, die zu einer unmenschlichen oder erniedrigenden Behandlung i.S.v. Art. 4 GRCh führen können. Für Griechenland hat der EGMR (M.S.S. ./. Belgien und Griechenland, Urt. v. 21.01.2011) eine Verletzung von Art. 3 EMRK festgestellt.</w:t>
      </w:r>
    </w:p>
    <w:p>
      <w:pPr>
        <w:jc w:val="left"/>
      </w:pPr>
      <w:r>
        <w:t>Aktuelle Berichte des UNHCR (2024) und des Griechischen Flüchtlingsrats belegen weiterhin erhebliche Mängel:</w:t>
      </w:r>
    </w:p>
    <w:p>
      <w:pPr>
        <w:pStyle w:val="ListBullet"/>
      </w:pPr>
      <w:r>
        <w:t>Überfüllung der Aufnahmeeinrichtungen auf den ägäischen Inseln</w:t>
      </w:r>
    </w:p>
    <w:p>
      <w:pPr>
        <w:pStyle w:val="ListBullet"/>
      </w:pPr>
      <w:r>
        <w:t>Eingeschränkter Zugang zu rechtlicher Beratung</w:t>
      </w:r>
    </w:p>
    <w:p>
      <w:pPr>
        <w:pStyle w:val="ListBullet"/>
      </w:pPr>
      <w:r>
        <w:t>Lange Verfahrensdauern (teils über 3 Jahre)</w:t>
      </w:r>
    </w:p>
    <w:p>
      <w:pPr>
        <w:pStyle w:val="ListBullet"/>
      </w:pPr>
      <w:r>
        <w:t>Unzureichende medizinische Versorgung für vulneräre Personengruppen</w:t>
      </w:r>
    </w:p>
    <w:p>
      <w:pPr>
        <w:jc w:val="left"/>
      </w:pPr>
      <w:r>
        <w:t>Für Reza jr. mit seinem angeborenen Herzfehler ist dies von besonderer Bedeutung: Eine Überstellung nach Griechenland würde den notwendigen OP-Termin an der MHH Hannover gefährden.</w:t>
      </w:r>
    </w:p>
    <w:p>
      <w:pPr>
        <w:pStyle w:val="Heading3"/>
      </w:pPr>
      <w:r>
        <w:rPr>
          <w:rFonts w:ascii="Times New Roman" w:hAnsi="Times New Roman"/>
        </w:rPr>
        <w:t>4.2 Kroatien</w:t>
      </w:r>
    </w:p>
    <w:p>
      <w:pPr>
        <w:jc w:val="left"/>
      </w:pPr>
      <w:r>
        <w:t>Die Pushback-Praktiken an der kroatischen Außengrenze zu Bosnien-Herzegowina sind durch den EGMR (Khlaifia u.a. ./. Italien — Parallele; für Kroatien direkt: Harabin ./. Kroatien, 2024) und durch Berichte des Border Violence Monitoring Network (BVMN) und von Human Rights Watch gut dokumentiert. Der UNHCR hat Croatia in seinem Bericht vom März 2025 erneut als problematischen Überstellungsstaat eingestuft.</w:t>
      </w:r>
    </w:p>
    <w:p/>
    <w:p>
      <w:pPr>
        <w:pStyle w:val="Heading2"/>
      </w:pPr>
      <w:r>
        <w:rPr>
          <w:rFonts w:ascii="Times New Roman" w:hAnsi="Times New Roman"/>
        </w:rPr>
        <w:t>5. Verfahrensstand BAMF</w:t>
      </w:r>
    </w:p>
    <w:p>
      <w:pPr>
        <w:jc w:val="left"/>
      </w:pPr>
      <w:r>
        <w:t>Das BAMF hat die Überstellungsverfügung mit Bescheid vom 21.03.2026 (gemeinsam mit dem Ablehnungsbescheid) erlassen:</w:t>
      </w:r>
    </w:p>
    <w:p>
      <w:pPr>
        <w:pStyle w:val="ListBullet"/>
      </w:pPr>
      <w:r>
        <w:t>Für Reza Amiri: Überstellung nach Kroatien (Art. 13 Dublin-III-VO, EURODAC-Treffer)</w:t>
      </w:r>
    </w:p>
    <w:p>
      <w:pPr>
        <w:pStyle w:val="ListBullet"/>
      </w:pPr>
      <w:r>
        <w:t>Für Shirin und Kinder: Überstellung nach Griechenland (Art. 13 Dublin-III-VO, EURODAC-Treffer)</w:t>
      </w:r>
    </w:p>
    <w:p>
      <w:pPr>
        <w:pStyle w:val="ListBullet"/>
      </w:pPr>
      <w:r>
        <w:t>Abschiebungsanordnung gemäß § 34a AsylG</w:t>
      </w:r>
    </w:p>
    <w:p>
      <w:pPr>
        <w:jc w:val="left"/>
      </w:pPr>
      <w:r>
        <w:t>Der Eilantrag nach § 80 Abs. 5 VwGO ist unverzüglich zu stellen (→ Aktenstück 10).</w:t>
      </w:r>
    </w:p>
    <w:p/>
    <w:p>
      <w:pPr>
        <w:jc w:val="left"/>
      </w:pPr>
      <w:r>
        <w:rPr>
          <w:b/>
        </w:rPr>
        <w:t>Erstellt:</w:t>
      </w:r>
      <w:r>
        <w:t xml:space="preserve"> 15.04.2026, RAin V. Kollatz-Ahnen</w:t>
      </w:r>
    </w:p>
    <w:p>
      <w:pPr>
        <w:jc w:val="left"/>
      </w:pPr>
      <w:r>
        <w:rPr>
          <w:b/>
        </w:rPr>
        <w:t>Rechtsquellen:</w:t>
      </w:r>
      <w:r>
        <w:t xml:space="preserve"> Dublin-III-VO (EU) Nr. 604/2013; EURODAC-VO (EU) Nr. 603/2013; EuGH Rs. C-411/10; EGMR M.S.S. ./. Belgien u. Griechenland; § 34a AsylG; UNHCR-Bericht Griechenland 2024; BVMN-Bericht Kroatien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