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Analyse des BAMF-Ablehnungsbescheids</w:t>
      </w:r>
    </w:p>
    <w:p>
      <w:pPr>
        <w:jc w:val="left"/>
      </w:pPr>
      <w:r>
        <w:rPr>
          <w:b/>
        </w:rPr>
        <w:t>Aktenzeichen:</w:t>
      </w:r>
      <w:r>
        <w:t xml:space="preserve"> ZA 9-44-188-2026 | VG Hannover 4 A 4188/26</w:t>
      </w:r>
    </w:p>
    <w:p>
      <w:pPr>
        <w:jc w:val="left"/>
      </w:pPr>
      <w:r>
        <w:rPr>
          <w:b/>
        </w:rPr>
        <w:t>Bescheiddatum:</w:t>
      </w:r>
      <w:r>
        <w:t xml:space="preserve"> 21.03.2026</w:t>
      </w:r>
    </w:p>
    <w:p>
      <w:pPr>
        <w:jc w:val="left"/>
      </w:pPr>
      <w:r>
        <w:rPr>
          <w:b/>
        </w:rPr>
        <w:t>Empfang:</w:t>
      </w:r>
      <w:r>
        <w:t xml:space="preserve"> 25.03.2026 (Zustellung)</w:t>
      </w:r>
    </w:p>
    <w:p>
      <w:pPr>
        <w:jc w:val="left"/>
      </w:pPr>
      <w:r>
        <w:rPr>
          <w:b/>
        </w:rPr>
        <w:t>Klagefrist:</w:t>
      </w:r>
      <w:r>
        <w:t xml:space="preserve"> 14 Tage (§ 74 Abs. 1 AsylG i.V.m. § 36 Abs. 1 AsylG); fristgerechte Klage erfolgt am 07.04.2026</w:t>
      </w:r>
    </w:p>
    <w:p/>
    <w:p>
      <w:pPr>
        <w:pStyle w:val="Heading2"/>
      </w:pPr>
      <w:r>
        <w:rPr>
          <w:rFonts w:ascii="Times New Roman" w:hAnsi="Times New Roman"/>
        </w:rPr>
        <w:t>1. Inhalt des Bescheids (Zusammenfassung)</w:t>
      </w:r>
    </w:p>
    <w:p>
      <w:pPr>
        <w:jc w:val="left"/>
      </w:pPr>
      <w:r>
        <w:t>Das BAMF hat mit Bescheid vom 21.03.2026 die Asylanträge der Familie Amiri-Hosseini vollumfänglich abgelehnt: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Prüfungspunkt</w:t>
            </w:r>
          </w:p>
        </w:tc>
        <w:tc>
          <w:tcPr>
            <w:tcW w:type="dxa" w:w="4536"/>
          </w:tcPr>
          <w:p>
            <w:r>
              <w:rPr>
                <w:rFonts w:ascii="Times New Roman" w:hAnsi="Times New Roman"/>
                <w:b/>
                <w:sz w:val="20"/>
              </w:rPr>
              <w:t>Ergebnis BAMF</w:t>
            </w:r>
          </w:p>
        </w:tc>
      </w:tr>
      <w:tr>
        <w:tc>
          <w:tcPr>
            <w:tcW w:type="dxa" w:w="4536"/>
          </w:tcPr>
          <w:p>
            <w:r>
              <w:rPr>
                <w:rFonts w:ascii="Times New Roman" w:hAnsi="Times New Roman"/>
                <w:sz w:val="20"/>
              </w:rPr>
              <w:t>Flüchtlingsschutz § 3 AsylG i.V.m. Art. 1A GFK</w:t>
            </w:r>
          </w:p>
        </w:tc>
        <w:tc>
          <w:tcPr>
            <w:tcW w:type="dxa" w:w="4536"/>
          </w:tcPr>
          <w:p>
            <w:r>
              <w:rPr>
                <w:rFonts w:ascii="Times New Roman" w:hAnsi="Times New Roman"/>
                <w:sz w:val="20"/>
              </w:rPr>
              <w:t>Abgelehnt</w:t>
            </w:r>
          </w:p>
        </w:tc>
      </w:tr>
      <w:tr>
        <w:tc>
          <w:tcPr>
            <w:tcW w:type="dxa" w:w="4536"/>
          </w:tcPr>
          <w:p>
            <w:r>
              <w:rPr>
                <w:rFonts w:ascii="Times New Roman" w:hAnsi="Times New Roman"/>
                <w:sz w:val="20"/>
              </w:rPr>
              <w:t>Subsidiärer Schutz § 4 AsylG</w:t>
            </w:r>
          </w:p>
        </w:tc>
        <w:tc>
          <w:tcPr>
            <w:tcW w:type="dxa" w:w="4536"/>
          </w:tcPr>
          <w:p>
            <w:r>
              <w:rPr>
                <w:rFonts w:ascii="Times New Roman" w:hAnsi="Times New Roman"/>
                <w:sz w:val="20"/>
              </w:rPr>
              <w:t>Abgelehnt</w:t>
            </w:r>
          </w:p>
        </w:tc>
      </w:tr>
      <w:tr>
        <w:tc>
          <w:tcPr>
            <w:tcW w:type="dxa" w:w="4536"/>
          </w:tcPr>
          <w:p>
            <w:r>
              <w:rPr>
                <w:rFonts w:ascii="Times New Roman" w:hAnsi="Times New Roman"/>
                <w:sz w:val="20"/>
              </w:rPr>
              <w:t>Abschiebungsverbote § 60 Abs. 5 und 7 AufenthG</w:t>
            </w:r>
          </w:p>
        </w:tc>
        <w:tc>
          <w:tcPr>
            <w:tcW w:type="dxa" w:w="4536"/>
          </w:tcPr>
          <w:p>
            <w:r>
              <w:rPr>
                <w:rFonts w:ascii="Times New Roman" w:hAnsi="Times New Roman"/>
                <w:sz w:val="20"/>
              </w:rPr>
              <w:t>Abgelehnt</w:t>
            </w:r>
          </w:p>
        </w:tc>
      </w:tr>
      <w:tr>
        <w:tc>
          <w:tcPr>
            <w:tcW w:type="dxa" w:w="4536"/>
          </w:tcPr>
          <w:p>
            <w:r>
              <w:rPr>
                <w:rFonts w:ascii="Times New Roman" w:hAnsi="Times New Roman"/>
                <w:sz w:val="20"/>
              </w:rPr>
              <w:t>Abschiebungsanordnung § 34a AsylG (Dublin)</w:t>
            </w:r>
          </w:p>
        </w:tc>
        <w:tc>
          <w:tcPr>
            <w:tcW w:type="dxa" w:w="4536"/>
          </w:tcPr>
          <w:p>
            <w:r>
              <w:rPr>
                <w:rFonts w:ascii="Times New Roman" w:hAnsi="Times New Roman"/>
                <w:sz w:val="20"/>
              </w:rPr>
              <w:t>Erlassen (Kroatien / Griechenland)</w:t>
            </w:r>
          </w:p>
        </w:tc>
      </w:tr>
      <w:tr>
        <w:tc>
          <w:tcPr>
            <w:tcW w:type="dxa" w:w="4536"/>
          </w:tcPr>
          <w:p>
            <w:r>
              <w:rPr>
                <w:rFonts w:ascii="Times New Roman" w:hAnsi="Times New Roman"/>
                <w:sz w:val="20"/>
              </w:rPr>
              <w:t>Einreise- und Aufenthaltsverbot § 11 AufenthG</w:t>
            </w:r>
          </w:p>
        </w:tc>
        <w:tc>
          <w:tcPr>
            <w:tcW w:type="dxa" w:w="4536"/>
          </w:tcPr>
          <w:p>
            <w:r>
              <w:rPr>
                <w:rFonts w:ascii="Times New Roman" w:hAnsi="Times New Roman"/>
                <w:sz w:val="20"/>
              </w:rPr>
              <w:t>30 Monate</w:t>
            </w:r>
          </w:p>
        </w:tc>
      </w:tr>
    </w:tbl>
    <w:p/>
    <w:p>
      <w:pPr>
        <w:pStyle w:val="Heading2"/>
      </w:pPr>
      <w:r>
        <w:rPr>
          <w:rFonts w:ascii="Times New Roman" w:hAnsi="Times New Roman"/>
        </w:rPr>
        <w:t>2. Begründungsstruktur des BAMF</w:t>
      </w:r>
    </w:p>
    <w:p>
      <w:pPr>
        <w:pStyle w:val="Heading3"/>
      </w:pPr>
      <w:r>
        <w:rPr>
          <w:rFonts w:ascii="Times New Roman" w:hAnsi="Times New Roman"/>
        </w:rPr>
        <w:t>2.1 Zur Glaubhaftigkeit der Konversion</w:t>
      </w:r>
    </w:p>
    <w:p>
      <w:pPr>
        <w:jc w:val="left"/>
      </w:pPr>
      <w:r>
        <w:t>Das BAMF stützt die Ablehnung des Flüchtlingsschutzes maßgeblich auf angebliche Glaubhaftigkeitsdefizite hinsichtlich der behaupteten Konversion zum Christentum. Wörtlich aus dem Bescheid (S. 12 f.):</w:t>
      </w:r>
    </w:p>
    <w:p>
      <w:pPr>
        <w:ind w:left="567"/>
      </w:pPr>
      <w:r>
        <w:rPr>
          <w:i/>
        </w:rPr>
        <w:t>„Die Angaben des Antragstellers zur angeblichen Taufe und zur Beteiligung an einer Hauskirche sind zu pauschal und weisen keine individuellen Details auf, die eine ernsthaft gelebte religiöse Überzeugung belegen könnten. Auf die Frage, welchen Bibelabschnitt er zuletzt gelesen habe, konnte der Antragsteller keine konkrete Antwort geben. Dies legt nahe, dass die Konversionsbehauptung der Fluchtverschlimmerung dient."</w:t>
      </w:r>
    </w:p>
    <w:p>
      <w:pPr>
        <w:jc w:val="left"/>
      </w:pPr>
      <w:r>
        <w:rPr>
          <w:b/>
        </w:rPr>
        <w:t>Anwaltliche Gegenposition:</w:t>
      </w:r>
      <w:r>
        <w:t xml:space="preserve"> Diese Argumentation verkennt die besondere Situation von Konvertiten aus dem Iran, die aus nachvollziehbaren Sicherheitsgründen nicht im Besitz einschlägiger Dokumente oder Schriften sind und die Offenlegung ihrer Überzeugungen auch im Asylverfahren mit Vorsicht handhaben. Das Bundesverwaltungsgericht (BVerwG, Urt. v. 20.02.2013 — 10 C 23.12) und der EuGH (Rs. C-71/11 und C-99/11, „Y und Z", Urt. v. 05.09.2012) haben klargestellt, dass nicht auf eine erzwungene Verheimlichung religiöser Überzeugungen verwiesen werden darf.</w:t>
      </w:r>
    </w:p>
    <w:p>
      <w:pPr>
        <w:pStyle w:val="Heading3"/>
      </w:pPr>
      <w:r>
        <w:rPr>
          <w:rFonts w:ascii="Times New Roman" w:hAnsi="Times New Roman"/>
        </w:rPr>
        <w:t>2.2 Zur Bahai-Nähe</w:t>
      </w:r>
    </w:p>
    <w:p>
      <w:pPr>
        <w:jc w:val="left"/>
      </w:pPr>
      <w:r>
        <w:t>Das BAMF hält die geschilderten Kontakte zur Bahai-Gemeinschaft für nicht glaubhaft, da Reza keine spezifischen Kenntnisse über die Bahai-Religion vorweisen konnte. Es wird unterstellt, die Erzählung diene der Konstruktion eines Verfolgungsgrunds.</w:t>
      </w:r>
    </w:p>
    <w:p>
      <w:pPr>
        <w:jc w:val="left"/>
      </w:pPr>
      <w:r>
        <w:rPr>
          <w:b/>
        </w:rPr>
        <w:t>Anwaltliche Gegenposition:</w:t>
      </w:r>
      <w:r>
        <w:t xml:space="preserve"> Reza hat nicht behauptet, Bahai zu sein; er hat lediglich berufliche und soziale Kontakte zu Bahai-Angehörigen geschildert. Dass IRGC-Ermittlungen bei solchen Kontakten ansetzen, ist aus der Länderinformation Iran des BAMF selbst (Stand Dezember 2025, Abschnitt 3.2.4) bekannt. Die BAMF-Entscheidung widersprach insoweit den eigenen Publikationen.</w:t>
      </w:r>
    </w:p>
    <w:p>
      <w:pPr>
        <w:pStyle w:val="Heading3"/>
      </w:pPr>
      <w:r>
        <w:rPr>
          <w:rFonts w:ascii="Times New Roman" w:hAnsi="Times New Roman"/>
        </w:rPr>
        <w:t>2.3 Zur inländischen Fluchtalternative</w:t>
      </w:r>
    </w:p>
    <w:p>
      <w:pPr>
        <w:jc w:val="left"/>
      </w:pPr>
      <w:r>
        <w:t>Das BAMF vertritt die Auffassung, Reza hätte in einer anderen iranischen Provinz Schutz suchen können. Diese Argumentation ist angesichts des bundesweiten Haftbefehls (ausgestellt für das gesamte Iran-Staatsgebiet) und des elektronischen Überwachungssystems IRGC rechtlich nicht haltbar.</w:t>
      </w:r>
    </w:p>
    <w:p>
      <w:pPr>
        <w:pStyle w:val="Heading3"/>
      </w:pPr>
      <w:r>
        <w:rPr>
          <w:rFonts w:ascii="Times New Roman" w:hAnsi="Times New Roman"/>
        </w:rPr>
        <w:t>2.4 Zu § 4 AsylG (subsidiärer Schutz)</w:t>
      </w:r>
    </w:p>
    <w:p>
      <w:pPr>
        <w:jc w:val="left"/>
      </w:pPr>
      <w:r>
        <w:t>Das BAMF verneint ernsthaften Schaden i.S.v. § 4 Abs. 1 Nr. 2 AsylG (Folter, unmenschliche Behandlung) mit der pauschalen Begründung, die Antragsteller hätten keine konkreten Schadensdrohungen belegt. Es berücksichtigt nicht, dass ein Haftbefehl und die Vorgeschichte einer Hausdurchsuchung durch den Geheimdienst als hinreichend ernst anzusehen sind.</w:t>
      </w:r>
    </w:p>
    <w:p/>
    <w:p>
      <w:pPr>
        <w:pStyle w:val="Heading2"/>
      </w:pPr>
      <w:r>
        <w:rPr>
          <w:rFonts w:ascii="Times New Roman" w:hAnsi="Times New Roman"/>
        </w:rPr>
        <w:t>3. Formelle Mängel des Bescheids</w:t>
      </w:r>
    </w:p>
    <w:p>
      <w:pPr>
        <w:pStyle w:val="Heading3"/>
      </w:pPr>
      <w:r>
        <w:rPr>
          <w:rFonts w:ascii="Times New Roman" w:hAnsi="Times New Roman"/>
        </w:rPr>
        <w:t>3.1 Verstoß gegen das Protokollierungsgebot</w:t>
      </w:r>
    </w:p>
    <w:p>
      <w:pPr>
        <w:jc w:val="left"/>
      </w:pPr>
      <w:r>
        <w:t>Die Anhörung vom 28.01.2026 dauerte nach Aktenlage lediglich 2 Stunden und 15 Minuten. Dies erscheint für eine vielköpfige Familie mit zwei getrennten Verfolgungsgeschichten als zu kurz. Das Anhörungsprotokoll enthält mehrere Auslassungen, die durch Vergleich mit den Dolmetschernotizen von Frau Farshchian aufgefallen sind. Ein Mängelheilungsschreiben wurde an das BAMF am 29.01.2026 gesandt (noch vor dem Bescheid), jedoch nicht berücksichtigt.</w:t>
      </w:r>
    </w:p>
    <w:p>
      <w:pPr>
        <w:pStyle w:val="Heading3"/>
      </w:pPr>
      <w:r>
        <w:rPr>
          <w:rFonts w:ascii="Times New Roman" w:hAnsi="Times New Roman"/>
        </w:rPr>
        <w:t>3.2 Fehlende Berücksichtigung medizinischer Aspekte</w:t>
      </w:r>
    </w:p>
    <w:p>
      <w:pPr>
        <w:jc w:val="left"/>
      </w:pPr>
      <w:r>
        <w:t>Der Herzfehler von Reza jr. und die damit verbundene OP-Dringlichkeit wurden in der Bescheidsbegründung zu § 60 Abs. 7 AufenthG nicht gewürdigt. Das ärztliche Attest der Kinderkardiologen der MHH (Datum: 15.03.2026, also vor Bescheiderlass) lag dem BAMF vor, wird aber nicht zitiert.</w:t>
      </w:r>
    </w:p>
    <w:p>
      <w:pPr>
        <w:pStyle w:val="Heading3"/>
      </w:pPr>
      <w:r>
        <w:rPr>
          <w:rFonts w:ascii="Times New Roman" w:hAnsi="Times New Roman"/>
        </w:rPr>
        <w:t>3.3 Unterlassene Erwägung des Art. 16 Dublin-III-VO</w:t>
      </w:r>
    </w:p>
    <w:p>
      <w:pPr>
        <w:jc w:val="left"/>
      </w:pPr>
      <w:r>
        <w:t>Wie unter Aktenstück 04 dargelegt, hat das BAMF die humanitäre Klausel des Art. 16 Dublin-III-VO bei der Überstellungsverfügung nicht oder nicht hinreichend erwogen.</w:t>
      </w:r>
    </w:p>
    <w:p/>
    <w:p>
      <w:pPr>
        <w:pStyle w:val="Heading2"/>
      </w:pPr>
      <w:r>
        <w:rPr>
          <w:rFonts w:ascii="Times New Roman" w:hAnsi="Times New Roman"/>
        </w:rPr>
        <w:t>4. Rechtliche Angriffspunkte im Überblick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Angriffspunkt</w:t>
            </w:r>
          </w:p>
        </w:tc>
        <w:tc>
          <w:tcPr>
            <w:tcW w:type="dxa" w:w="3024"/>
          </w:tcPr>
          <w:p>
            <w:r>
              <w:rPr>
                <w:rFonts w:ascii="Times New Roman" w:hAnsi="Times New Roman"/>
                <w:b/>
                <w:sz w:val="20"/>
              </w:rPr>
              <w:t>Norm</w:t>
            </w:r>
          </w:p>
        </w:tc>
        <w:tc>
          <w:tcPr>
            <w:tcW w:type="dxa" w:w="3024"/>
          </w:tcPr>
          <w:p>
            <w:r>
              <w:rPr>
                <w:rFonts w:ascii="Times New Roman" w:hAnsi="Times New Roman"/>
                <w:b/>
                <w:sz w:val="20"/>
              </w:rPr>
              <w:t>Stärke</w:t>
            </w:r>
          </w:p>
        </w:tc>
      </w:tr>
      <w:tr>
        <w:tc>
          <w:tcPr>
            <w:tcW w:type="dxa" w:w="3024"/>
          </w:tcPr>
          <w:p>
            <w:r>
              <w:rPr>
                <w:rFonts w:ascii="Times New Roman" w:hAnsi="Times New Roman"/>
                <w:sz w:val="20"/>
              </w:rPr>
              <w:t>Verkannte Konversionsverfolgung (EuGH-Maßstäbe)</w:t>
            </w:r>
          </w:p>
        </w:tc>
        <w:tc>
          <w:tcPr>
            <w:tcW w:type="dxa" w:w="3024"/>
          </w:tcPr>
          <w:p>
            <w:r>
              <w:rPr>
                <w:rFonts w:ascii="Times New Roman" w:hAnsi="Times New Roman"/>
                <w:sz w:val="20"/>
              </w:rPr>
              <w:t>Art. 10 Abs. 1b QRL; § 3b AsylG</w:t>
            </w:r>
          </w:p>
        </w:tc>
        <w:tc>
          <w:tcPr>
            <w:tcW w:type="dxa" w:w="3024"/>
          </w:tcPr>
          <w:p>
            <w:r>
              <w:rPr>
                <w:rFonts w:ascii="Times New Roman" w:hAnsi="Times New Roman"/>
                <w:sz w:val="20"/>
              </w:rPr>
              <w:t>Stark</w:t>
            </w:r>
          </w:p>
        </w:tc>
      </w:tr>
      <w:tr>
        <w:tc>
          <w:tcPr>
            <w:tcW w:type="dxa" w:w="3024"/>
          </w:tcPr>
          <w:p>
            <w:r>
              <w:rPr>
                <w:rFonts w:ascii="Times New Roman" w:hAnsi="Times New Roman"/>
                <w:sz w:val="20"/>
              </w:rPr>
              <w:t>Fehler bei Glaubhaftigkeitsprüfung</w:t>
            </w:r>
          </w:p>
        </w:tc>
        <w:tc>
          <w:tcPr>
            <w:tcW w:type="dxa" w:w="3024"/>
          </w:tcPr>
          <w:p>
            <w:r>
              <w:rPr>
                <w:rFonts w:ascii="Times New Roman" w:hAnsi="Times New Roman"/>
                <w:sz w:val="20"/>
              </w:rPr>
              <w:t>§ 25 AsylG; BVerwG-Rsp.</w:t>
            </w:r>
          </w:p>
        </w:tc>
        <w:tc>
          <w:tcPr>
            <w:tcW w:type="dxa" w:w="3024"/>
          </w:tcPr>
          <w:p>
            <w:r>
              <w:rPr>
                <w:rFonts w:ascii="Times New Roman" w:hAnsi="Times New Roman"/>
                <w:sz w:val="20"/>
              </w:rPr>
              <w:t>Stark</w:t>
            </w:r>
          </w:p>
        </w:tc>
      </w:tr>
      <w:tr>
        <w:tc>
          <w:tcPr>
            <w:tcW w:type="dxa" w:w="3024"/>
          </w:tcPr>
          <w:p>
            <w:r>
              <w:rPr>
                <w:rFonts w:ascii="Times New Roman" w:hAnsi="Times New Roman"/>
                <w:sz w:val="20"/>
              </w:rPr>
              <w:t>Ignorieren ärztl. Attests (§ 60 Abs. 7 AufenthG)</w:t>
            </w:r>
          </w:p>
        </w:tc>
        <w:tc>
          <w:tcPr>
            <w:tcW w:type="dxa" w:w="3024"/>
          </w:tcPr>
          <w:p>
            <w:r>
              <w:rPr>
                <w:rFonts w:ascii="Times New Roman" w:hAnsi="Times New Roman"/>
                <w:sz w:val="20"/>
              </w:rPr>
              <w:t>§ 60 Abs. 7 S. 1 AufenthG</w:t>
            </w:r>
          </w:p>
        </w:tc>
        <w:tc>
          <w:tcPr>
            <w:tcW w:type="dxa" w:w="3024"/>
          </w:tcPr>
          <w:p>
            <w:r>
              <w:rPr>
                <w:rFonts w:ascii="Times New Roman" w:hAnsi="Times New Roman"/>
                <w:sz w:val="20"/>
              </w:rPr>
              <w:t>Stark</w:t>
            </w:r>
          </w:p>
        </w:tc>
      </w:tr>
      <w:tr>
        <w:tc>
          <w:tcPr>
            <w:tcW w:type="dxa" w:w="3024"/>
          </w:tcPr>
          <w:p>
            <w:r>
              <w:rPr>
                <w:rFonts w:ascii="Times New Roman" w:hAnsi="Times New Roman"/>
                <w:sz w:val="20"/>
              </w:rPr>
              <w:t>Keine Auseinandersetzung mit Haftbefehl</w:t>
            </w:r>
          </w:p>
        </w:tc>
        <w:tc>
          <w:tcPr>
            <w:tcW w:type="dxa" w:w="3024"/>
          </w:tcPr>
          <w:p>
            <w:r>
              <w:rPr>
                <w:rFonts w:ascii="Times New Roman" w:hAnsi="Times New Roman"/>
                <w:sz w:val="20"/>
              </w:rPr>
              <w:t>§ 3 AsylG; Art. 1A GFK</w:t>
            </w:r>
          </w:p>
        </w:tc>
        <w:tc>
          <w:tcPr>
            <w:tcW w:type="dxa" w:w="3024"/>
          </w:tcPr>
          <w:p>
            <w:r>
              <w:rPr>
                <w:rFonts w:ascii="Times New Roman" w:hAnsi="Times New Roman"/>
                <w:sz w:val="20"/>
              </w:rPr>
              <w:t>Mittel</w:t>
            </w:r>
          </w:p>
        </w:tc>
      </w:tr>
      <w:tr>
        <w:tc>
          <w:tcPr>
            <w:tcW w:type="dxa" w:w="3024"/>
          </w:tcPr>
          <w:p>
            <w:r>
              <w:rPr>
                <w:rFonts w:ascii="Times New Roman" w:hAnsi="Times New Roman"/>
                <w:sz w:val="20"/>
              </w:rPr>
              <w:t>Dublin-Familieneinheit (Art. 11, 16 Dublin-III-VO)</w:t>
            </w:r>
          </w:p>
        </w:tc>
        <w:tc>
          <w:tcPr>
            <w:tcW w:type="dxa" w:w="3024"/>
          </w:tcPr>
          <w:p>
            <w:r>
              <w:rPr>
                <w:rFonts w:ascii="Times New Roman" w:hAnsi="Times New Roman"/>
                <w:sz w:val="20"/>
              </w:rPr>
              <w:t>Art. 11, 16 Dublin-III-VO</w:t>
            </w:r>
          </w:p>
        </w:tc>
        <w:tc>
          <w:tcPr>
            <w:tcW w:type="dxa" w:w="3024"/>
          </w:tcPr>
          <w:p>
            <w:r>
              <w:rPr>
                <w:rFonts w:ascii="Times New Roman" w:hAnsi="Times New Roman"/>
                <w:sz w:val="20"/>
              </w:rPr>
              <w:t>Stark</w:t>
            </w:r>
          </w:p>
        </w:tc>
      </w:tr>
      <w:tr>
        <w:tc>
          <w:tcPr>
            <w:tcW w:type="dxa" w:w="3024"/>
          </w:tcPr>
          <w:p>
            <w:r>
              <w:rPr>
                <w:rFonts w:ascii="Times New Roman" w:hAnsi="Times New Roman"/>
                <w:sz w:val="20"/>
              </w:rPr>
              <w:t>Systemische Mängel GR und HR</w:t>
            </w:r>
          </w:p>
        </w:tc>
        <w:tc>
          <w:tcPr>
            <w:tcW w:type="dxa" w:w="3024"/>
          </w:tcPr>
          <w:p>
            <w:r>
              <w:rPr>
                <w:rFonts w:ascii="Times New Roman" w:hAnsi="Times New Roman"/>
                <w:sz w:val="20"/>
              </w:rPr>
              <w:t>EuGH Rs. C-411/10; Art. 4 GRCh</w:t>
            </w:r>
          </w:p>
        </w:tc>
        <w:tc>
          <w:tcPr>
            <w:tcW w:type="dxa" w:w="3024"/>
          </w:tcPr>
          <w:p>
            <w:r>
              <w:rPr>
                <w:rFonts w:ascii="Times New Roman" w:hAnsi="Times New Roman"/>
                <w:sz w:val="20"/>
              </w:rPr>
              <w:t>Mittel-Stark</w:t>
            </w:r>
          </w:p>
        </w:tc>
      </w:tr>
      <w:tr>
        <w:tc>
          <w:tcPr>
            <w:tcW w:type="dxa" w:w="3024"/>
          </w:tcPr>
          <w:p>
            <w:r>
              <w:rPr>
                <w:rFonts w:ascii="Times New Roman" w:hAnsi="Times New Roman"/>
                <w:sz w:val="20"/>
              </w:rPr>
              <w:t>Protokollierungsmängel Anhörung</w:t>
            </w:r>
          </w:p>
        </w:tc>
        <w:tc>
          <w:tcPr>
            <w:tcW w:type="dxa" w:w="3024"/>
          </w:tcPr>
          <w:p>
            <w:r>
              <w:rPr>
                <w:rFonts w:ascii="Times New Roman" w:hAnsi="Times New Roman"/>
                <w:sz w:val="20"/>
              </w:rPr>
              <w:t>§ 25 Abs. 7 AsylG</w:t>
            </w:r>
          </w:p>
        </w:tc>
        <w:tc>
          <w:tcPr>
            <w:tcW w:type="dxa" w:w="3024"/>
          </w:tcPr>
          <w:p>
            <w:r>
              <w:rPr>
                <w:rFonts w:ascii="Times New Roman" w:hAnsi="Times New Roman"/>
                <w:sz w:val="20"/>
              </w:rPr>
              <w:t>Mittel</w:t>
            </w:r>
          </w:p>
        </w:tc>
      </w:tr>
    </w:tbl>
    <w:p/>
    <w:p>
      <w:pPr>
        <w:pStyle w:val="Heading2"/>
      </w:pPr>
      <w:r>
        <w:rPr>
          <w:rFonts w:ascii="Times New Roman" w:hAnsi="Times New Roman"/>
        </w:rPr>
        <w:t>5. Fristen und Verfahrensstand</w:t>
      </w:r>
    </w:p>
    <w:p>
      <w:pPr>
        <w:pStyle w:val="ListBullet"/>
      </w:pPr>
      <w:r>
        <w:rPr>
          <w:b/>
        </w:rPr>
        <w:t>Klagefrist:</w:t>
      </w:r>
      <w:r>
        <w:t xml:space="preserve"> 14 Tage ab Zustellung (§ 74 Abs. 1 AsylG); Zustellung 25.03.2026; Frist: 08.04.2026</w:t>
      </w:r>
    </w:p>
    <w:p>
      <w:pPr>
        <w:pStyle w:val="ListBullet"/>
      </w:pPr>
      <w:r>
        <w:rPr>
          <w:b/>
        </w:rPr>
        <w:t>Klage erhoben:</w:t>
      </w:r>
      <w:r>
        <w:t xml:space="preserve"> 07.04.2026, VG Hannover, AZ: 4 A 4188/26</w:t>
      </w:r>
    </w:p>
    <w:p>
      <w:pPr>
        <w:pStyle w:val="ListBullet"/>
      </w:pPr>
      <w:r>
        <w:rPr>
          <w:b/>
        </w:rPr>
        <w:t>Eilantrag § 80 Abs. 5 VwGO (Dublin):</w:t>
      </w:r>
      <w:r>
        <w:t xml:space="preserve"> Noch einzureichen (Priorität)</w:t>
      </w:r>
    </w:p>
    <w:p>
      <w:pPr>
        <w:pStyle w:val="ListBullet"/>
      </w:pPr>
      <w:r>
        <w:rPr>
          <w:b/>
        </w:rPr>
        <w:t>Begründungsfrist:</w:t>
      </w:r>
      <w:r>
        <w:t xml:space="preserve"> Noch keine gesetzt; VG fordert üblicherweise 3 Monate</w:t>
      </w:r>
    </w:p>
    <w:p/>
    <w:p>
      <w:pPr>
        <w:jc w:val="left"/>
      </w:pPr>
      <w:r>
        <w:rPr>
          <w:b/>
        </w:rPr>
        <w:t>Erstellt:</w:t>
      </w:r>
      <w:r>
        <w:t xml:space="preserve"> 16.04.2026, RAin V. Kollatz-Ahnen</w:t>
      </w:r>
    </w:p>
    <w:p>
      <w:pPr>
        <w:jc w:val="left"/>
      </w:pPr>
      <w:r>
        <w:rPr>
          <w:b/>
        </w:rPr>
        <w:t>Quellen:</w:t>
      </w:r>
      <w:r>
        <w:t xml:space="preserve"> BAMF-Bescheid ZA 9-44-188-2026; BVerwG, Urt. v. 20.02.2013 — 10 C 23.12; EuGH Rs. C-71/11 und C-99/11; § 3 AsylG; § 60 AufenthG; BAMF-Länderinformation Iran (Dezember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