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Glaubhaftigkeitsprüfung: Konversion und Bahai-Nähe</w:t>
      </w:r>
    </w:p>
    <w:p>
      <w:pPr>
        <w:jc w:val="left"/>
      </w:pPr>
      <w:r>
        <w:rPr>
          <w:b/>
        </w:rPr>
        <w:t>Aktenzeichen:</w:t>
      </w:r>
      <w:r>
        <w:t xml:space="preserve"> VG Hannover 4 A 4188/26</w:t>
      </w:r>
    </w:p>
    <w:p>
      <w:pPr>
        <w:jc w:val="left"/>
      </w:pPr>
      <w:r>
        <w:rPr>
          <w:b/>
        </w:rPr>
        <w:t>Stand:</w:t>
      </w:r>
      <w:r>
        <w:t xml:space="preserve"> 17.04.2026</w:t>
      </w:r>
    </w:p>
    <w:p/>
    <w:p>
      <w:pPr>
        <w:pStyle w:val="Heading2"/>
      </w:pPr>
      <w:r>
        <w:rPr>
          <w:rFonts w:ascii="Times New Roman" w:hAnsi="Times New Roman"/>
        </w:rPr>
        <w:t>1. Rechtlicher Rahmen</w:t>
      </w:r>
    </w:p>
    <w:p>
      <w:pPr>
        <w:pStyle w:val="Heading3"/>
      </w:pPr>
      <w:r>
        <w:rPr>
          <w:rFonts w:ascii="Times New Roman" w:hAnsi="Times New Roman"/>
        </w:rPr>
        <w:t>1.1 § 3b AsylG — Religionsverfolgung</w:t>
      </w:r>
    </w:p>
    <w:p>
      <w:pPr>
        <w:jc w:val="left"/>
      </w:pPr>
      <w:r>
        <w:t>Nach § 3b Abs. 1 Nr. 2 AsylG gilt als Religion i.S.d. Flüchtlingsschutzes jede religiöse Überzeugung, auch wenn sie — wie häufig bei Konvertiten aus islamischen Ländern — nicht durch institutionelle Mitgliedschaft oder Dokumentation belegt werden kann. Religionsverfolgung liegt vor, wenn der Antragsteller bei Rückkehr entweder gezwungen wäre, seinen Glauben zu verbergen, oder wegen seiner religiösen Überzeugung verfolgt werden würde.</w:t>
      </w:r>
    </w:p>
    <w:p>
      <w:pPr>
        <w:jc w:val="left"/>
      </w:pPr>
      <w:r>
        <w:t>Der EuGH hat in der Rechtssache Y und Z (Rs. C-71/11 und C-99/11, Urt. v. 05.09.2012) klargestellt:</w:t>
      </w:r>
    </w:p>
    <w:p>
      <w:pPr>
        <w:pStyle w:val="ListNumber"/>
      </w:pPr>
      <w:r>
        <w:t>Es ist unzulässig, vom Antragsteller zu verlangen, seinen Glauben zu verbergen, um Verfolgung zu vermeiden.</w:t>
      </w:r>
    </w:p>
    <w:p>
      <w:pPr>
        <w:pStyle w:val="ListNumber"/>
      </w:pPr>
      <w:r>
        <w:t>Maßgeblich ist die ernsthafte und persönliche Überzeugung des Antragstellers — nicht formale Mitgliedschaft.</w:t>
      </w:r>
    </w:p>
    <w:p>
      <w:pPr>
        <w:pStyle w:val="ListNumber"/>
      </w:pPr>
      <w:r>
        <w:t>Das Verfolgungsrisiko muss individuell und real sein.</w:t>
      </w:r>
    </w:p>
    <w:p>
      <w:pPr>
        <w:pStyle w:val="Heading3"/>
      </w:pPr>
      <w:r>
        <w:rPr>
          <w:rFonts w:ascii="Times New Roman" w:hAnsi="Times New Roman"/>
        </w:rPr>
        <w:t>1.2 UNHCR-Leitlinien Iran</w:t>
      </w:r>
    </w:p>
    <w:p>
      <w:pPr>
        <w:jc w:val="left"/>
      </w:pPr>
      <w:r>
        <w:t>Die UNHCR-Leitlinien zum Schutzbedarf iranischer Asylsuchender (aktualisiert 2024) stufen folgende Gruppen als grundsätzlich schutzbedürftig ein:</w:t>
      </w:r>
    </w:p>
    <w:p>
      <w:pPr>
        <w:pStyle w:val="ListBullet"/>
      </w:pPr>
      <w:r>
        <w:t>Konvertiten vom Islam zu einer anderen Religion</w:t>
      </w:r>
    </w:p>
    <w:p>
      <w:pPr>
        <w:pStyle w:val="ListBullet"/>
      </w:pPr>
      <w:r>
        <w:t>Personen mit Verbindungen zu Bahai-Gemeinschaften</w:t>
      </w:r>
    </w:p>
    <w:p>
      <w:pPr>
        <w:pStyle w:val="ListBullet"/>
      </w:pPr>
      <w:r>
        <w:t>Personen, die gegen religiöse Normen des Staates verstoßen haben</w:t>
      </w:r>
    </w:p>
    <w:p>
      <w:pPr>
        <w:pStyle w:val="ListBullet"/>
      </w:pPr>
      <w:r>
        <w:t>Teilnehmer an Hauskirchen</w:t>
      </w:r>
    </w:p>
    <w:p/>
    <w:p>
      <w:pPr>
        <w:pStyle w:val="Heading2"/>
      </w:pPr>
      <w:r>
        <w:rPr>
          <w:rFonts w:ascii="Times New Roman" w:hAnsi="Times New Roman"/>
        </w:rPr>
        <w:t>2. Konversionsbehauptung Reza Amiri — Beweiswürdigung</w:t>
      </w:r>
    </w:p>
    <w:p>
      <w:pPr>
        <w:pStyle w:val="Heading3"/>
      </w:pPr>
      <w:r>
        <w:rPr>
          <w:rFonts w:ascii="Times New Roman" w:hAnsi="Times New Roman"/>
        </w:rPr>
        <w:t>2.1 Konsistenz der Schilderung</w:t>
      </w:r>
    </w:p>
    <w:p>
      <w:pPr>
        <w:jc w:val="left"/>
      </w:pPr>
      <w:r>
        <w:t>In drei voneinander unabhängigen Befragungen (BAMF-Anhörung 28.01.2026, Caritas-Erstgespräch 02.05.2025, Kanzleigespräch 14.04.2026) schilderte Reza Amiri seine Konversion konsistent:</w:t>
      </w:r>
    </w:p>
    <w:p>
      <w:pPr>
        <w:pStyle w:val="ListBullet"/>
      </w:pPr>
      <w:r>
        <w:t>Beginn: Bahai-Bekannter Farshid Golestan → religiöse Diskussionen ab ca. 2019/2020</w:t>
      </w:r>
    </w:p>
    <w:p>
      <w:pPr>
        <w:pStyle w:val="ListBullet"/>
      </w:pPr>
      <w:r>
        <w:t>Übergang: Online-Ressourcen (Farsi-Bibelübersetzung, YouTube-Predigten)</w:t>
      </w:r>
    </w:p>
    <w:p>
      <w:pPr>
        <w:pStyle w:val="ListBullet"/>
      </w:pPr>
      <w:r>
        <w:t>Hauskreis: Regelmäßige Treffen ab 2021, zunächst bei Golestan, später in wechselnden Privatwohnungen</w:t>
      </w:r>
    </w:p>
    <w:p>
      <w:pPr>
        <w:pStyle w:val="ListBullet"/>
      </w:pPr>
      <w:r>
        <w:t>Taufe: 15.03.2023 durch Pastor Davood Rezaei</w:t>
      </w:r>
    </w:p>
    <w:p>
      <w:pPr>
        <w:jc w:val="left"/>
      </w:pPr>
      <w:r>
        <w:t>Abweichungen zwischen den Protokollen sind geringfügig und erklärbar (Übersetzungsunterschiede, Zeitdruck bei BAMF-Anhörung).</w:t>
      </w:r>
    </w:p>
    <w:p>
      <w:pPr>
        <w:pStyle w:val="Heading3"/>
      </w:pPr>
      <w:r>
        <w:rPr>
          <w:rFonts w:ascii="Times New Roman" w:hAnsi="Times New Roman"/>
        </w:rPr>
        <w:t>2.2 Kritik der BAMF-Begründung</w:t>
      </w:r>
    </w:p>
    <w:p>
      <w:pPr>
        <w:jc w:val="left"/>
      </w:pPr>
      <w:r>
        <w:t>Das BAMF stützt seine Zweifel auf folgende Punkte:</w:t>
      </w:r>
    </w:p>
    <w:p>
      <w:pPr>
        <w:pStyle w:val="ListNumber"/>
      </w:pPr>
      <w:r>
        <w:t>Reza konnte keinen konkreten Bibelabschnitt benennen.</w:t>
      </w:r>
    </w:p>
    <w:p>
      <w:pPr>
        <w:pStyle w:val="ListNumber"/>
      </w:pPr>
      <w:r>
        <w:t>Er nannte die Hauskirche nicht beim Namen.</w:t>
      </w:r>
    </w:p>
    <w:p>
      <w:pPr>
        <w:pStyle w:val="ListNumber"/>
      </w:pPr>
      <w:r>
        <w:t>Er konnte kein Kreuz oder religiöses Symbol vorweisen.</w:t>
      </w:r>
    </w:p>
    <w:p>
      <w:pPr>
        <w:jc w:val="left"/>
      </w:pPr>
      <w:r>
        <w:rPr>
          <w:b/>
        </w:rPr>
        <w:t>Anwaltliche Entgegnung:</w:t>
      </w:r>
    </w:p>
    <w:p>
      <w:pPr>
        <w:pStyle w:val="ListBullet"/>
      </w:pPr>
      <w:r>
        <w:t>zu 1: Das Kriterium „konkreter Bibelabschnitt" ist nach der Rechtsprechung des BVerwG (Urt. v. 20.02.2013 — 10 C 23.12) kein maßgebliches Indiz für mangelnde Überzeugung; religiöses Wissen variiert stark.</w:t>
      </w:r>
    </w:p>
    <w:p>
      <w:pPr>
        <w:pStyle w:val="ListBullet"/>
      </w:pPr>
      <w:r>
        <w:t>zu 2: Der bewusste Verzicht auf Namensnennung der Gemeinde (zum Schutz von Mitgliedern im Iran) ist ein Merkmal echter Untergrundgläubiger, kein Zeichen mangelnder Überzeugung.</w:t>
      </w:r>
    </w:p>
    <w:p>
      <w:pPr>
        <w:pStyle w:val="ListBullet"/>
      </w:pPr>
      <w:r>
        <w:t>zu 3: Das Mitführen religiöser Symbole auf der Flucht ist aus Sicherheitsgründen unterblieben.</w:t>
      </w:r>
    </w:p>
    <w:p>
      <w:pPr>
        <w:pStyle w:val="Heading3"/>
      </w:pPr>
      <w:r>
        <w:rPr>
          <w:rFonts w:ascii="Times New Roman" w:hAnsi="Times New Roman"/>
        </w:rPr>
        <w:t>2.3 Belege und Beweismittel</w:t>
      </w:r>
    </w:p>
    <w:p>
      <w:pPr>
        <w:jc w:val="left"/>
      </w:pPr>
      <w:r>
        <w:t>Für die Klagebegründung werden folgende Beweismittel zusammengestellt: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Beweismittel</w:t>
            </w:r>
          </w:p>
        </w:tc>
        <w:tc>
          <w:tcPr>
            <w:tcW w:type="dxa" w:w="3024"/>
          </w:tcPr>
          <w:p>
            <w:r>
              <w:rPr>
                <w:rFonts w:ascii="Times New Roman" w:hAnsi="Times New Roman"/>
                <w:b/>
                <w:sz w:val="20"/>
              </w:rPr>
              <w:t>Status</w:t>
            </w:r>
          </w:p>
        </w:tc>
        <w:tc>
          <w:tcPr>
            <w:tcW w:type="dxa" w:w="3024"/>
          </w:tcPr>
          <w:p>
            <w:r>
              <w:rPr>
                <w:rFonts w:ascii="Times New Roman" w:hAnsi="Times New Roman"/>
                <w:b/>
                <w:sz w:val="20"/>
              </w:rPr>
              <w:t>Anmerkung</w:t>
            </w:r>
          </w:p>
        </w:tc>
      </w:tr>
      <w:tr>
        <w:tc>
          <w:tcPr>
            <w:tcW w:type="dxa" w:w="3024"/>
          </w:tcPr>
          <w:p>
            <w:r>
              <w:rPr>
                <w:rFonts w:ascii="Times New Roman" w:hAnsi="Times New Roman"/>
                <w:sz w:val="20"/>
              </w:rPr>
              <w:t>Eidesstattliche Erklärung Reza Amiri</w:t>
            </w:r>
          </w:p>
        </w:tc>
        <w:tc>
          <w:tcPr>
            <w:tcW w:type="dxa" w:w="3024"/>
          </w:tcPr>
          <w:p>
            <w:r>
              <w:rPr>
                <w:rFonts w:ascii="Times New Roman" w:hAnsi="Times New Roman"/>
                <w:sz w:val="20"/>
              </w:rPr>
              <w:t>Vorbereitet</w:t>
            </w:r>
          </w:p>
        </w:tc>
        <w:tc>
          <w:tcPr>
            <w:tcW w:type="dxa" w:w="3024"/>
          </w:tcPr>
          <w:p>
            <w:r>
              <w:rPr>
                <w:rFonts w:ascii="Times New Roman" w:hAnsi="Times New Roman"/>
                <w:sz w:val="20"/>
              </w:rPr>
              <w:t>Detaillierter Konversionsbericht</w:t>
            </w:r>
          </w:p>
        </w:tc>
      </w:tr>
      <w:tr>
        <w:tc>
          <w:tcPr>
            <w:tcW w:type="dxa" w:w="3024"/>
          </w:tcPr>
          <w:p>
            <w:r>
              <w:rPr>
                <w:rFonts w:ascii="Times New Roman" w:hAnsi="Times New Roman"/>
                <w:sz w:val="20"/>
              </w:rPr>
              <w:t>Eidesstattliche Erklärung Shirin Hosseini-Tabrizi</w:t>
            </w:r>
          </w:p>
        </w:tc>
        <w:tc>
          <w:tcPr>
            <w:tcW w:type="dxa" w:w="3024"/>
          </w:tcPr>
          <w:p>
            <w:r>
              <w:rPr>
                <w:rFonts w:ascii="Times New Roman" w:hAnsi="Times New Roman"/>
                <w:sz w:val="20"/>
              </w:rPr>
              <w:t>Vorbereitet</w:t>
            </w:r>
          </w:p>
        </w:tc>
        <w:tc>
          <w:tcPr>
            <w:tcW w:type="dxa" w:w="3024"/>
          </w:tcPr>
          <w:p>
            <w:r>
              <w:rPr>
                <w:rFonts w:ascii="Times New Roman" w:hAnsi="Times New Roman"/>
                <w:sz w:val="20"/>
              </w:rPr>
              <w:t>Bestätigt Konversion des Ehemannes</w:t>
            </w:r>
          </w:p>
        </w:tc>
      </w:tr>
      <w:tr>
        <w:tc>
          <w:tcPr>
            <w:tcW w:type="dxa" w:w="3024"/>
          </w:tcPr>
          <w:p>
            <w:r>
              <w:rPr>
                <w:rFonts w:ascii="Times New Roman" w:hAnsi="Times New Roman"/>
                <w:sz w:val="20"/>
              </w:rPr>
              <w:t>Zeugnis Pastor Davood Rezaei (Diaspora)</w:t>
            </w:r>
          </w:p>
        </w:tc>
        <w:tc>
          <w:tcPr>
            <w:tcW w:type="dxa" w:w="3024"/>
          </w:tcPr>
          <w:p>
            <w:r>
              <w:rPr>
                <w:rFonts w:ascii="Times New Roman" w:hAnsi="Times New Roman"/>
                <w:sz w:val="20"/>
              </w:rPr>
              <w:t>In Vorbereitung</w:t>
            </w:r>
          </w:p>
        </w:tc>
        <w:tc>
          <w:tcPr>
            <w:tcW w:type="dxa" w:w="3024"/>
          </w:tcPr>
          <w:p>
            <w:r>
              <w:rPr>
                <w:rFonts w:ascii="Times New Roman" w:hAnsi="Times New Roman"/>
                <w:sz w:val="20"/>
              </w:rPr>
              <w:t>Über iranische Christengemeinde Berlin erreichbar</w:t>
            </w:r>
          </w:p>
        </w:tc>
      </w:tr>
      <w:tr>
        <w:tc>
          <w:tcPr>
            <w:tcW w:type="dxa" w:w="3024"/>
          </w:tcPr>
          <w:p>
            <w:r>
              <w:rPr>
                <w:rFonts w:ascii="Times New Roman" w:hAnsi="Times New Roman"/>
                <w:sz w:val="20"/>
              </w:rPr>
              <w:t>Zeugnis Farshid Golestan (Kanada)</w:t>
            </w:r>
          </w:p>
        </w:tc>
        <w:tc>
          <w:tcPr>
            <w:tcW w:type="dxa" w:w="3024"/>
          </w:tcPr>
          <w:p>
            <w:r>
              <w:rPr>
                <w:rFonts w:ascii="Times New Roman" w:hAnsi="Times New Roman"/>
                <w:sz w:val="20"/>
              </w:rPr>
              <w:t>In Vorbereitung</w:t>
            </w:r>
          </w:p>
        </w:tc>
        <w:tc>
          <w:tcPr>
            <w:tcW w:type="dxa" w:w="3024"/>
          </w:tcPr>
          <w:p>
            <w:r>
              <w:rPr>
                <w:rFonts w:ascii="Times New Roman" w:hAnsi="Times New Roman"/>
                <w:sz w:val="20"/>
              </w:rPr>
              <w:t>Via schriftlichem Zeugnis; möglichst videokonferenzlich</w:t>
            </w:r>
          </w:p>
        </w:tc>
      </w:tr>
      <w:tr>
        <w:tc>
          <w:tcPr>
            <w:tcW w:type="dxa" w:w="3024"/>
          </w:tcPr>
          <w:p>
            <w:r>
              <w:rPr>
                <w:rFonts w:ascii="Times New Roman" w:hAnsi="Times New Roman"/>
                <w:sz w:val="20"/>
              </w:rPr>
              <w:t>UNHCR-Leitlinien Iran 2024</w:t>
            </w:r>
          </w:p>
        </w:tc>
        <w:tc>
          <w:tcPr>
            <w:tcW w:type="dxa" w:w="3024"/>
          </w:tcPr>
          <w:p>
            <w:r>
              <w:rPr>
                <w:rFonts w:ascii="Times New Roman" w:hAnsi="Times New Roman"/>
                <w:sz w:val="20"/>
              </w:rPr>
              <w:t>Vorhanden</w:t>
            </w:r>
          </w:p>
        </w:tc>
        <w:tc>
          <w:tcPr>
            <w:tcW w:type="dxa" w:w="3024"/>
          </w:tcPr>
          <w:p>
            <w:r>
              <w:rPr>
                <w:rFonts w:ascii="Times New Roman" w:hAnsi="Times New Roman"/>
                <w:sz w:val="20"/>
              </w:rPr>
              <w:t>Schutzbedarf Konvertiten/Bahai</w:t>
            </w:r>
          </w:p>
        </w:tc>
      </w:tr>
      <w:tr>
        <w:tc>
          <w:tcPr>
            <w:tcW w:type="dxa" w:w="3024"/>
          </w:tcPr>
          <w:p>
            <w:r>
              <w:rPr>
                <w:rFonts w:ascii="Times New Roman" w:hAnsi="Times New Roman"/>
                <w:sz w:val="20"/>
              </w:rPr>
              <w:t>BAMF-Länderinformation Iran Dez. 2025</w:t>
            </w:r>
          </w:p>
        </w:tc>
        <w:tc>
          <w:tcPr>
            <w:tcW w:type="dxa" w:w="3024"/>
          </w:tcPr>
          <w:p>
            <w:r>
              <w:rPr>
                <w:rFonts w:ascii="Times New Roman" w:hAnsi="Times New Roman"/>
                <w:sz w:val="20"/>
              </w:rPr>
              <w:t>Vorhanden</w:t>
            </w:r>
          </w:p>
        </w:tc>
        <w:tc>
          <w:tcPr>
            <w:tcW w:type="dxa" w:w="3024"/>
          </w:tcPr>
          <w:p>
            <w:r>
              <w:rPr>
                <w:rFonts w:ascii="Times New Roman" w:hAnsi="Times New Roman"/>
                <w:sz w:val="20"/>
              </w:rPr>
              <w:t>Eigenangaben BAMF zur Verfolgungslage</w:t>
            </w:r>
          </w:p>
        </w:tc>
      </w:tr>
      <w:tr>
        <w:tc>
          <w:tcPr>
            <w:tcW w:type="dxa" w:w="3024"/>
          </w:tcPr>
          <w:p>
            <w:r>
              <w:rPr>
                <w:rFonts w:ascii="Times New Roman" w:hAnsi="Times New Roman"/>
                <w:sz w:val="20"/>
              </w:rPr>
              <w:t>Open Doors Weltverfolgungsindex 2026</w:t>
            </w:r>
          </w:p>
        </w:tc>
        <w:tc>
          <w:tcPr>
            <w:tcW w:type="dxa" w:w="3024"/>
          </w:tcPr>
          <w:p>
            <w:r>
              <w:rPr>
                <w:rFonts w:ascii="Times New Roman" w:hAnsi="Times New Roman"/>
                <w:sz w:val="20"/>
              </w:rPr>
              <w:t>Vorhanden</w:t>
            </w:r>
          </w:p>
        </w:tc>
        <w:tc>
          <w:tcPr>
            <w:tcW w:type="dxa" w:w="3024"/>
          </w:tcPr>
          <w:p>
            <w:r>
              <w:rPr>
                <w:rFonts w:ascii="Times New Roman" w:hAnsi="Times New Roman"/>
                <w:sz w:val="20"/>
              </w:rPr>
              <w:t>Iran auf Platz 9 (Christenverfolgung)</w:t>
            </w:r>
          </w:p>
        </w:tc>
      </w:tr>
      <w:tr>
        <w:tc>
          <w:tcPr>
            <w:tcW w:type="dxa" w:w="3024"/>
          </w:tcPr>
          <w:p>
            <w:r>
              <w:rPr>
                <w:rFonts w:ascii="Times New Roman" w:hAnsi="Times New Roman"/>
                <w:sz w:val="20"/>
              </w:rPr>
              <w:t>Bericht AI: „Glaubensfreiheit im Iran" 2025</w:t>
            </w:r>
          </w:p>
        </w:tc>
        <w:tc>
          <w:tcPr>
            <w:tcW w:type="dxa" w:w="3024"/>
          </w:tcPr>
          <w:p>
            <w:r>
              <w:rPr>
                <w:rFonts w:ascii="Times New Roman" w:hAnsi="Times New Roman"/>
                <w:sz w:val="20"/>
              </w:rPr>
              <w:t>Wird angefordert</w:t>
            </w:r>
          </w:p>
        </w:tc>
        <w:tc>
          <w:tcPr>
            <w:tcW w:type="dxa" w:w="3024"/>
          </w:tcPr>
          <w:p>
            <w:r>
              <w:rPr>
                <w:rFonts w:ascii="Times New Roman" w:hAnsi="Times New Roman"/>
                <w:sz w:val="20"/>
              </w:rPr>
              <w:t>Amnesty International</w:t>
            </w:r>
          </w:p>
        </w:tc>
      </w:tr>
    </w:tbl>
    <w:p/>
    <w:p>
      <w:pPr>
        <w:pStyle w:val="Heading2"/>
      </w:pPr>
      <w:r>
        <w:rPr>
          <w:rFonts w:ascii="Times New Roman" w:hAnsi="Times New Roman"/>
        </w:rPr>
        <w:t>3. Bahai-Nähe — Rechtliche Einordnung</w:t>
      </w:r>
    </w:p>
    <w:p>
      <w:pPr>
        <w:pStyle w:val="Heading3"/>
      </w:pPr>
      <w:r>
        <w:rPr>
          <w:rFonts w:ascii="Times New Roman" w:hAnsi="Times New Roman"/>
        </w:rPr>
        <w:t>3.1 Verfolgungslage für Bahai im Iran</w:t>
      </w:r>
    </w:p>
    <w:p>
      <w:pPr>
        <w:jc w:val="left"/>
      </w:pPr>
      <w:r>
        <w:t>Bahai gelten im Iran als Häretiker und unterliegen systematischer staatlicher Verfolgung. Die Bahai-Gemeinschaft ist verboten; Mitglieder können nach iranischem Recht inhaftiert, ihre Eigentumsrechte können eingeschränkt werden. Das BAMF-Herkunftsländer-Informationssystem (ACCORD, Stand 2025) bestätigt diese Lage.</w:t>
      </w:r>
    </w:p>
    <w:p>
      <w:pPr>
        <w:pStyle w:val="Heading3"/>
      </w:pPr>
      <w:r>
        <w:rPr>
          <w:rFonts w:ascii="Times New Roman" w:hAnsi="Times New Roman"/>
        </w:rPr>
        <w:t>3.2 Bedeutung für Nichtmitglieder</w:t>
      </w:r>
    </w:p>
    <w:p>
      <w:pPr>
        <w:jc w:val="left"/>
      </w:pPr>
      <w:r>
        <w:t>Reza war kein Bahai-Mitglied, aber in sozialem Kontakt mit Bahai-Angehörigen. Für die IRGC-Überwachungspraxis ist diese Unterscheidung oft ohne Bedeutung: Auch soziale Nähe kann zu Verhören und Repressionen führen, wie aus zahlreichen dokumentierten Fällen hervorgeht (vgl. Human Rights Watch-Bericht „Iran: Repression of Minorities", 2025).</w:t>
      </w:r>
    </w:p>
    <w:p>
      <w:pPr>
        <w:jc w:val="left"/>
      </w:pPr>
      <w:r>
        <w:t>Die BAMF-Ablehnung mit der Begründung, Reza kenne keine Bahai-Theologie, verkennt die verfolgungsrelevante Realität: Staatliche Verfolgung knüpft nicht an theologisches Wissen an, sondern an soziale Verbindungen.</w:t>
      </w:r>
    </w:p>
    <w:p/>
    <w:p>
      <w:pPr>
        <w:pStyle w:val="Heading2"/>
      </w:pPr>
      <w:r>
        <w:rPr>
          <w:rFonts w:ascii="Times New Roman" w:hAnsi="Times New Roman"/>
        </w:rPr>
        <w:t>4. Schutzbedarf Shirin Hosseini-Tabrizi</w:t>
      </w:r>
    </w:p>
    <w:p>
      <w:pPr>
        <w:jc w:val="left"/>
      </w:pPr>
      <w:r>
        <w:t>Shirin hat keine formale Konversion vollzogen. Dennoch ist ihr Schutzbedarf eigenständig zu bewerten:</w:t>
      </w:r>
    </w:p>
    <w:p>
      <w:pPr>
        <w:pStyle w:val="ListBullet"/>
      </w:pPr>
      <w:r>
        <w:t>Sie hat bei der BAMF-Anhörung angegeben, ihre religiösen Überzeugungen hätten sich durch ihren Mann verändert.</w:t>
      </w:r>
    </w:p>
    <w:p>
      <w:pPr>
        <w:pStyle w:val="ListBullet"/>
      </w:pPr>
      <w:r>
        <w:t>Sie hat Verhörvorladungen erhalten (November 2023).</w:t>
      </w:r>
    </w:p>
    <w:p>
      <w:pPr>
        <w:pStyle w:val="ListBullet"/>
      </w:pPr>
      <w:r>
        <w:t>Als Ehefrau eines zur Apostasie beschuldigten Mannes unterliegt sie Sippenhaft-ähnlichen Risiken (sog. „Mitnahme" von Angehörigen bei politischen/religiösen Verfolgungen — ein aus der Länderinformation bekanntes Phänomen).</w:t>
      </w:r>
    </w:p>
    <w:p>
      <w:pPr>
        <w:jc w:val="left"/>
      </w:pPr>
      <w:r>
        <w:t>Das BAMF hat Shirins Schutzbedarf nicht eigenständig und hinreichend gewürdigt — dies ist ein gesonderter Angriffspunkt der Klage.</w:t>
      </w:r>
    </w:p>
    <w:p/>
    <w:p>
      <w:pPr>
        <w:pStyle w:val="Heading2"/>
      </w:pPr>
      <w:r>
        <w:rPr>
          <w:rFonts w:ascii="Times New Roman" w:hAnsi="Times New Roman"/>
        </w:rPr>
        <w:t>5. Verfolgungsprognose bei Rückkehr</w:t>
      </w:r>
    </w:p>
    <w:p>
      <w:pPr>
        <w:jc w:val="left"/>
      </w:pPr>
      <w:r>
        <w:t>Das Bundesverwaltungsgericht fordert für die Zuerkennung von Flüchtlingsschutz eine begründete Furcht vor Verfolgung, die eine „beachtliche Wahrscheinlichkeit" der Verfolgung bejaht (BVerwG, Urt. v. 01.06.2011 — 10 C 25.10). Im vorliegenden Fall sprechen folgende Faktoren für eine solche Wahrscheinlichkeit:</w:t>
      </w:r>
    </w:p>
    <w:p>
      <w:pPr>
        <w:pStyle w:val="ListNumber"/>
      </w:pPr>
      <w:r>
        <w:t>Offener Haftbefehl im Iran (Apostasieverdacht)</w:t>
      </w:r>
    </w:p>
    <w:p>
      <w:pPr>
        <w:pStyle w:val="ListNumber"/>
      </w:pPr>
      <w:r>
        <w:t>Hausdurchsuchung und Dateibeschlagnahme durch IRGC</w:t>
      </w:r>
    </w:p>
    <w:p>
      <w:pPr>
        <w:pStyle w:val="ListNumber"/>
      </w:pPr>
      <w:r>
        <w:t>Flucht aus dem Iran unter erheblichem Aufwand (dies selbst belegt Ernst der Lage)</w:t>
      </w:r>
    </w:p>
    <w:p>
      <w:pPr>
        <w:pStyle w:val="ListNumber"/>
      </w:pPr>
      <w:r>
        <w:t>UNHCR-Einschätzung: Konvertiten aus dem schiitischen Islam sind grundsätzlich gefährdet</w:t>
      </w:r>
    </w:p>
    <w:p>
      <w:pPr>
        <w:pStyle w:val="ListNumber"/>
      </w:pPr>
      <w:r>
        <w:t>Abwesenheit alternativer Schutzmöglichkeiten im Iran</w:t>
      </w:r>
    </w:p>
    <w:p/>
    <w:p>
      <w:pPr>
        <w:jc w:val="left"/>
      </w:pPr>
      <w:r>
        <w:rPr>
          <w:b/>
        </w:rPr>
        <w:t>Erstellt:</w:t>
      </w:r>
      <w:r>
        <w:t xml:space="preserve"> 17.04.2026, RAin V. Kollatz-Ahnen</w:t>
      </w:r>
    </w:p>
    <w:p>
      <w:pPr>
        <w:jc w:val="left"/>
      </w:pPr>
      <w:r>
        <w:rPr>
          <w:b/>
        </w:rPr>
        <w:t>Quellen:</w:t>
      </w:r>
      <w:r>
        <w:t xml:space="preserve"> EuGH Rs. C-71/11 und C-99/11 (Y und Z); BVerwG, Urt. v. 20.02.2013 — 10 C 23.12; BVerwG, Urt. v. 01.06.2011 — 10 C 25.10; UNHCR-Leitlinien Iran 2024; § 3b AsylG; Open Doors Weltverfolgungsindex 2026; BAMF-Länderinformation Iran Dezember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