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08 — Asylfolgeverfahren — Neue Umstände nach § 71 AsylG</w:t>
      </w:r>
    </w:p>
    <w:p>
      <w:pPr>
        <w:jc w:val="left"/>
      </w:pPr>
      <w:r>
        <w:rPr>
          <w:b/>
        </w:rPr>
        <w:t>Aktenzeichen:</w:t>
      </w:r>
      <w:r>
        <w:t xml:space="preserve"> VG Hannover 4 A 4188/26</w:t>
      </w:r>
    </w:p>
    <w:p>
      <w:pPr>
        <w:jc w:val="left"/>
      </w:pPr>
      <w:r>
        <w:rPr>
          <w:b/>
        </w:rPr>
        <w:t>Stand:</w:t>
      </w:r>
      <w:r>
        <w:t xml:space="preserve"> 18.04.2026</w:t>
      </w:r>
    </w:p>
    <w:p/>
    <w:p>
      <w:pPr>
        <w:pStyle w:val="Heading2"/>
      </w:pPr>
      <w:r>
        <w:rPr>
          <w:rFonts w:ascii="Times New Roman" w:hAnsi="Times New Roman"/>
        </w:rPr>
        <w:t>1. Bedeutung des Asylfolgeverfahrens</w:t>
      </w:r>
    </w:p>
    <w:p>
      <w:pPr>
        <w:jc w:val="left"/>
      </w:pPr>
      <w:r>
        <w:t>Ein Asylfolgeantrag nach § 71 AsylG kommt in Betracht, wenn nach einer bestandskräftigen Ablehnung neue Tatsachen oder Beweismittel vorliegen, die eine abweichende Entscheidung rechtfertigen könnten. Im vorliegenden Fall ist das Erstverfahren noch nicht bestandskräftig (Klage VG Hannover 4 A 4188/26 ist anhängig). Dennoch ist bereits jetzt zu prüfen, welche neuen Umstände — sofern die Klage erfolglos bleibt — einen Folgeantrag stützen könnten.</w:t>
      </w:r>
    </w:p>
    <w:p/>
    <w:p>
      <w:pPr>
        <w:pStyle w:val="Heading2"/>
      </w:pPr>
      <w:r>
        <w:rPr>
          <w:rFonts w:ascii="Times New Roman" w:hAnsi="Times New Roman"/>
        </w:rPr>
        <w:t>2. Neue Tatsachen und Beweismittel</w:t>
      </w:r>
    </w:p>
    <w:p>
      <w:pPr>
        <w:pStyle w:val="Heading3"/>
      </w:pPr>
      <w:r>
        <w:rPr>
          <w:rFonts w:ascii="Times New Roman" w:hAnsi="Times New Roman"/>
        </w:rPr>
        <w:t>2.1 Steigerung der Verfolgungsintensität im Iran (nach Antragstellung)</w:t>
      </w:r>
    </w:p>
    <w:p>
      <w:pPr>
        <w:jc w:val="left"/>
      </w:pPr>
      <w:r>
        <w:t>Nach Eingang des Ablehnungsbescheids am 25.03.2026 berichtete Mahnoor Amiri (Tochter, Mashhad) telefonisch, dass iranische Sicherheitsbehörden Anfang März 2026 erneut an der Familienwohnung in Mashhad erschienen seien und nach dem Verbleib der Eltern gefragt hätten. Dieser Vorgang ist als neue Tatsache relevant: Er belegt, dass das staatliche Verfolgungsinteresse fortbesteht und sich intensiviert.</w:t>
      </w:r>
    </w:p>
    <w:p>
      <w:pPr>
        <w:jc w:val="left"/>
      </w:pPr>
      <w:r>
        <w:rPr>
          <w:b/>
        </w:rPr>
        <w:t>Dokumentation:</w:t>
      </w:r>
      <w:r>
        <w:t xml:space="preserve"> Mahnoor hat ein schriftliches Protokoll erstellt (auf Farsi; Übersetzung durch Frau Farshchian liegt vor). RAin Kollatz-Ahnen hat Mahnoor darauf hingewiesen, keine Dokumente zu vernichten.</w:t>
      </w:r>
    </w:p>
    <w:p>
      <w:pPr>
        <w:pStyle w:val="Heading3"/>
      </w:pPr>
      <w:r>
        <w:rPr>
          <w:rFonts w:ascii="Times New Roman" w:hAnsi="Times New Roman"/>
        </w:rPr>
        <w:t>2.2 Psychiatrische Diagnose Reza Amiri (PTBS)</w:t>
      </w:r>
    </w:p>
    <w:p>
      <w:pPr>
        <w:jc w:val="left"/>
      </w:pPr>
      <w:r>
        <w:t>Der Hausarzt der Familie hat am 10.04.2026 eine Überweisung zu einer Psychiaterin für Reza ausgestellt. Eine fachärztliche PTBS-Diagnose wäre als neues Beweismittel relevant — sowohl für § 60 Abs. 7 AufenthG (Behandlungsbedürftigkeit) als auch für die Glaubhaftigkeitsprüfung (Erklärung für Gedächtnislücken und Inkonsistenzen).</w:t>
      </w:r>
    </w:p>
    <w:p>
      <w:pPr>
        <w:pStyle w:val="Heading3"/>
      </w:pPr>
      <w:r>
        <w:rPr>
          <w:rFonts w:ascii="Times New Roman" w:hAnsi="Times New Roman"/>
        </w:rPr>
        <w:t>2.3 Konversionsdokumentation durch Diaspora-Pfarrer</w:t>
      </w:r>
    </w:p>
    <w:p>
      <w:pPr>
        <w:jc w:val="left"/>
      </w:pPr>
      <w:r>
        <w:t>Inzwischen hat Pastor Davood Rezaei (derzeit Berlin) schriftlich bestätigt, Reza Amiri im März 2023 getauft zu haben. Dieses Schreiben war zum Zeitpunkt der BAMF-Anhörung (Januar 2026) noch nicht vorhanden. Es ist ein neues Beweismittel i.S.v. § 71 Abs. 1 Satz 1 Nr. 2 AsylG, das die Konversionsbehauptung stützt.</w:t>
      </w:r>
    </w:p>
    <w:p>
      <w:pPr>
        <w:pStyle w:val="Heading3"/>
      </w:pPr>
      <w:r>
        <w:rPr>
          <w:rFonts w:ascii="Times New Roman" w:hAnsi="Times New Roman"/>
        </w:rPr>
        <w:t>2.4 Reza jr. — Medizinische Verschlechterung</w:t>
      </w:r>
    </w:p>
    <w:p>
      <w:pPr>
        <w:jc w:val="left"/>
      </w:pPr>
      <w:r>
        <w:t>Die MHH-Kardiologie hat am 02.04.2026 einen dringenden OP-Termin für Reza jr. festgelegt (geplant für den 15.07.2026). Diese Konkretisierung stellt eine neue medizinische Entwicklung dar, die bei einer künftigen Folgeantragstellung eigenständige Bedeutung hätte.</w:t>
      </w:r>
    </w:p>
    <w:p/>
    <w:p>
      <w:pPr>
        <w:pStyle w:val="Heading2"/>
      </w:pPr>
      <w:r>
        <w:rPr>
          <w:rFonts w:ascii="Times New Roman" w:hAnsi="Times New Roman"/>
        </w:rPr>
        <w:t>3. Prüfungsmaßstab nach § 71 AsylG</w:t>
      </w:r>
    </w:p>
    <w:p>
      <w:pPr>
        <w:jc w:val="left"/>
      </w:pPr>
      <w:r>
        <w:t>§ 71 Abs. 1 Satz 1 AsylG verweist für Folgeanträge auf § 51 Abs. 1 bis 3 VwVfG:</w:t>
      </w:r>
    </w:p>
    <w:p>
      <w:pPr>
        <w:pStyle w:val="ListBullet"/>
      </w:pPr>
      <w:r>
        <w:rPr>
          <w:b/>
        </w:rPr>
        <w:t>§ 51 Abs. 1 Nr. 1 VwVfG:</w:t>
      </w:r>
      <w:r>
        <w:t xml:space="preserve"> Sachverhalt hat sich nachträglich zugunsten des Antragstellers verändert.</w:t>
      </w:r>
    </w:p>
    <w:p>
      <w:pPr>
        <w:pStyle w:val="ListBullet"/>
      </w:pPr>
      <w:r>
        <w:rPr>
          <w:b/>
        </w:rPr>
        <w:t>§ 51 Abs. 1 Nr. 2 VwVfG:</w:t>
      </w:r>
      <w:r>
        <w:t xml:space="preserve"> Neue Beweismittel, die eine günstigere Entscheidung rechtfertigen würden.</w:t>
      </w:r>
    </w:p>
    <w:p>
      <w:pPr>
        <w:pStyle w:val="ListBullet"/>
      </w:pPr>
      <w:r>
        <w:rPr>
          <w:b/>
        </w:rPr>
        <w:t>§ 51 Abs. 1 Nr. 3 VwVfG:</w:t>
      </w:r>
      <w:r>
        <w:t xml:space="preserve"> Wiederaufnahmegrund i.S.v. § 580 ZPO.</w:t>
      </w:r>
    </w:p>
    <w:p>
      <w:pPr>
        <w:jc w:val="left"/>
      </w:pPr>
      <w:r>
        <w:t>Die Prüfung ist zweistufig: Zunächst prüft das BAMF, ob die formellen Voraussetzungen des § 51 VwVfG vorliegen (Zulässigkeit des Folgeantrags). Nur bei Bejahung erfolgt eine inhaltliche Prüfung. Die Frist nach § 51 Abs. 3 VwVfG (3 Monate ab Kenntnis der neuen Umstände) ist zu beachten.</w:t>
      </w:r>
    </w:p>
    <w:p/>
    <w:p>
      <w:pPr>
        <w:pStyle w:val="Heading2"/>
      </w:pPr>
      <w:r>
        <w:rPr>
          <w:rFonts w:ascii="Times New Roman" w:hAnsi="Times New Roman"/>
        </w:rPr>
        <w:t>4. Strategische Einordnung</w:t>
      </w:r>
    </w:p>
    <w:p>
      <w:pPr>
        <w:jc w:val="left"/>
      </w:pPr>
      <w:r>
        <w:t>Im laufenden Klageverfahren (4 A 4188/26) sind die neuen Tatsachen und Beweismittel als ergänzendes Klagevorbringen gemäß § 87b VwGO einzuführen:</w:t>
      </w:r>
    </w:p>
    <w:p>
      <w:pPr>
        <w:pStyle w:val="ListBullet"/>
      </w:pPr>
      <w:r>
        <w:t>Schreiben Pastor Rezaei: Einbeziehen in Klagebegründung</w:t>
      </w:r>
    </w:p>
    <w:p>
      <w:pPr>
        <w:pStyle w:val="ListBullet"/>
      </w:pPr>
      <w:r>
        <w:t>Mahnoors Bericht (März 2026): Als Anlage zur Klagebegründung</w:t>
      </w:r>
    </w:p>
    <w:p>
      <w:pPr>
        <w:pStyle w:val="ListBullet"/>
      </w:pPr>
      <w:r>
        <w:t>PTBS-Attest: Sobald vorhanden, als Anlage nachreichen (§ 87b Abs. 3 VwGO Rüge möglich, aber Gericht wird bei gutem Grund Nachreichung akzeptieren)</w:t>
      </w:r>
    </w:p>
    <w:p>
      <w:pPr>
        <w:pStyle w:val="ListBullet"/>
      </w:pPr>
      <w:r>
        <w:t>MHH-OP-Termin: Konkretisierung des Abschiebungsverbots-Antrags</w:t>
      </w:r>
    </w:p>
    <w:p>
      <w:pPr>
        <w:jc w:val="left"/>
      </w:pPr>
      <w:r>
        <w:t>Ein formaler Folgeantrag nach § 71 AsylG ist erst einzureichen, wenn das Klageverfahren bestandskräftig negativ abgeschlossen wird. Die jetzige Sammlung der neuen Tatsachen dient der Klagebegründung und — vorausschauend — der Folgeantragsvorbereitung.</w:t>
      </w:r>
    </w:p>
    <w:p/>
    <w:p>
      <w:pPr>
        <w:pStyle w:val="Heading2"/>
      </w:pPr>
      <w:r>
        <w:rPr>
          <w:rFonts w:ascii="Times New Roman" w:hAnsi="Times New Roman"/>
        </w:rPr>
        <w:t>5. Risiken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Risiko</w:t>
            </w:r>
          </w:p>
        </w:tc>
        <w:tc>
          <w:tcPr>
            <w:tcW w:type="dxa" w:w="3024"/>
          </w:tcPr>
          <w:p>
            <w:r>
              <w:rPr>
                <w:rFonts w:ascii="Times New Roman" w:hAnsi="Times New Roman"/>
                <w:b/>
                <w:sz w:val="20"/>
              </w:rPr>
              <w:t>Einschätzung</w:t>
            </w:r>
          </w:p>
        </w:tc>
        <w:tc>
          <w:tcPr>
            <w:tcW w:type="dxa" w:w="3024"/>
          </w:tcPr>
          <w:p>
            <w:r>
              <w:rPr>
                <w:rFonts w:ascii="Times New Roman" w:hAnsi="Times New Roman"/>
                <w:b/>
                <w:sz w:val="20"/>
              </w:rPr>
              <w:t>Gegenmaßnahme</w:t>
            </w:r>
          </w:p>
        </w:tc>
      </w:tr>
      <w:tr>
        <w:tc>
          <w:tcPr>
            <w:tcW w:type="dxa" w:w="3024"/>
          </w:tcPr>
          <w:p>
            <w:r>
              <w:rPr>
                <w:rFonts w:ascii="Times New Roman" w:hAnsi="Times New Roman"/>
                <w:sz w:val="20"/>
              </w:rPr>
              <w:t>Ablehnung als verspätet (§ 87b VwGO)</w:t>
            </w:r>
          </w:p>
        </w:tc>
        <w:tc>
          <w:tcPr>
            <w:tcW w:type="dxa" w:w="3024"/>
          </w:tcPr>
          <w:p>
            <w:r>
              <w:rPr>
                <w:rFonts w:ascii="Times New Roman" w:hAnsi="Times New Roman"/>
                <w:sz w:val="20"/>
              </w:rPr>
              <w:t>Gering, da Beweise erst nach Klageerhebung entstanden</w:t>
            </w:r>
          </w:p>
        </w:tc>
        <w:tc>
          <w:tcPr>
            <w:tcW w:type="dxa" w:w="3024"/>
          </w:tcPr>
          <w:p>
            <w:r>
              <w:rPr>
                <w:rFonts w:ascii="Times New Roman" w:hAnsi="Times New Roman"/>
                <w:sz w:val="20"/>
              </w:rPr>
              <w:t>Eingehende Begründung der Rechtzeitigkeit</w:t>
            </w:r>
          </w:p>
        </w:tc>
      </w:tr>
      <w:tr>
        <w:tc>
          <w:tcPr>
            <w:tcW w:type="dxa" w:w="3024"/>
          </w:tcPr>
          <w:p>
            <w:r>
              <w:rPr>
                <w:rFonts w:ascii="Times New Roman" w:hAnsi="Times New Roman"/>
                <w:sz w:val="20"/>
              </w:rPr>
              <w:t>BAMF verweigert Prüfung neuer Beweise</w:t>
            </w:r>
          </w:p>
        </w:tc>
        <w:tc>
          <w:tcPr>
            <w:tcW w:type="dxa" w:w="3024"/>
          </w:tcPr>
          <w:p>
            <w:r>
              <w:rPr>
                <w:rFonts w:ascii="Times New Roman" w:hAnsi="Times New Roman"/>
                <w:sz w:val="20"/>
              </w:rPr>
              <w:t>Möglich</w:t>
            </w:r>
          </w:p>
        </w:tc>
        <w:tc>
          <w:tcPr>
            <w:tcW w:type="dxa" w:w="3024"/>
          </w:tcPr>
          <w:p>
            <w:r>
              <w:rPr>
                <w:rFonts w:ascii="Times New Roman" w:hAnsi="Times New Roman"/>
                <w:sz w:val="20"/>
              </w:rPr>
              <w:t>Antrag auf Wiedereröffnung der Anhörung</w:t>
            </w:r>
          </w:p>
        </w:tc>
      </w:tr>
      <w:tr>
        <w:tc>
          <w:tcPr>
            <w:tcW w:type="dxa" w:w="3024"/>
          </w:tcPr>
          <w:p>
            <w:r>
              <w:rPr>
                <w:rFonts w:ascii="Times New Roman" w:hAnsi="Times New Roman"/>
                <w:sz w:val="20"/>
              </w:rPr>
              <w:t>Gericht sieht Tatsachen als bekannt</w:t>
            </w:r>
          </w:p>
        </w:tc>
        <w:tc>
          <w:tcPr>
            <w:tcW w:type="dxa" w:w="3024"/>
          </w:tcPr>
          <w:p>
            <w:r>
              <w:rPr>
                <w:rFonts w:ascii="Times New Roman" w:hAnsi="Times New Roman"/>
                <w:sz w:val="20"/>
              </w:rPr>
              <w:t>Unwahrscheinlich</w:t>
            </w:r>
          </w:p>
        </w:tc>
        <w:tc>
          <w:tcPr>
            <w:tcW w:type="dxa" w:w="3024"/>
          </w:tcPr>
          <w:p>
            <w:r>
              <w:rPr>
                <w:rFonts w:ascii="Times New Roman" w:hAnsi="Times New Roman"/>
                <w:sz w:val="20"/>
              </w:rPr>
              <w:t>Pastor-Schreiben war objektiv noch nicht vorhanden</w:t>
            </w:r>
          </w:p>
        </w:tc>
      </w:tr>
      <w:tr>
        <w:tc>
          <w:tcPr>
            <w:tcW w:type="dxa" w:w="3024"/>
          </w:tcPr>
          <w:p>
            <w:r>
              <w:rPr>
                <w:rFonts w:ascii="Times New Roman" w:hAnsi="Times New Roman"/>
                <w:sz w:val="20"/>
              </w:rPr>
              <w:t>Folgeantrag (falls nötig) wird für unzulässig erklärt</w:t>
            </w:r>
          </w:p>
        </w:tc>
        <w:tc>
          <w:tcPr>
            <w:tcW w:type="dxa" w:w="3024"/>
          </w:tcPr>
          <w:p>
            <w:r>
              <w:rPr>
                <w:rFonts w:ascii="Times New Roman" w:hAnsi="Times New Roman"/>
                <w:sz w:val="20"/>
              </w:rPr>
              <w:t>Möglich bei Fristverpassen</w:t>
            </w:r>
          </w:p>
        </w:tc>
        <w:tc>
          <w:tcPr>
            <w:tcW w:type="dxa" w:w="3024"/>
          </w:tcPr>
          <w:p>
            <w:r>
              <w:rPr>
                <w:rFonts w:ascii="Times New Roman" w:hAnsi="Times New Roman"/>
                <w:sz w:val="20"/>
              </w:rPr>
              <w:t>Fristen ab sofort im Auge behalten</w:t>
            </w:r>
          </w:p>
        </w:tc>
      </w:tr>
    </w:tbl>
    <w:p/>
    <w:p>
      <w:pPr>
        <w:jc w:val="left"/>
      </w:pPr>
      <w:r>
        <w:rPr>
          <w:b/>
        </w:rPr>
        <w:t>Erstellt:</w:t>
      </w:r>
      <w:r>
        <w:t xml:space="preserve"> 18.04.2026, RAin V. Kollatz-Ahnen</w:t>
      </w:r>
    </w:p>
    <w:p>
      <w:pPr>
        <w:jc w:val="left"/>
      </w:pPr>
      <w:r>
        <w:rPr>
          <w:b/>
        </w:rPr>
        <w:t>Quellen:</w:t>
      </w:r>
      <w:r>
        <w:t xml:space="preserve"> § 71 AsylG; § 51 VwVfG; § 87b VwGO; § 60 Abs. 7 AufenthG; BVerwG, Urt. v. 09.12.2010 — 10 C 13.09 (Folgeantragsmaßstab)</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