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09 — Dublin-IV-Überstellungsverfügung — Analyse und Gegenargumentation</w:t>
      </w:r>
    </w:p>
    <w:p>
      <w:pPr>
        <w:jc w:val="left"/>
      </w:pPr>
      <w:r>
        <w:rPr>
          <w:b/>
        </w:rPr>
        <w:t>Aktenzeichen:</w:t>
      </w:r>
      <w:r>
        <w:t xml:space="preserve"> VG Hannover 4 A 4188/26 (Dublin-Teilkomplex)</w:t>
      </w:r>
    </w:p>
    <w:p>
      <w:pPr>
        <w:jc w:val="left"/>
      </w:pPr>
      <w:r>
        <w:rPr>
          <w:b/>
        </w:rPr>
        <w:t>Bescheid BAMF:</w:t>
      </w:r>
      <w:r>
        <w:t xml:space="preserve"> 21.03.2026</w:t>
      </w:r>
    </w:p>
    <w:p>
      <w:pPr>
        <w:jc w:val="left"/>
      </w:pPr>
      <w:r>
        <w:rPr>
          <w:b/>
        </w:rPr>
        <w:t>Überstellungsziel Reza:</w:t>
      </w:r>
      <w:r>
        <w:t xml:space="preserve"> Kroatien</w:t>
      </w:r>
    </w:p>
    <w:p>
      <w:pPr>
        <w:jc w:val="left"/>
      </w:pPr>
      <w:r>
        <w:rPr>
          <w:b/>
        </w:rPr>
        <w:t>Überstellungsziel Shirin und Kinder:</w:t>
      </w:r>
      <w:r>
        <w:t xml:space="preserve"> Griechenland</w:t>
      </w:r>
    </w:p>
    <w:p>
      <w:pPr>
        <w:jc w:val="left"/>
      </w:pPr>
      <w:r>
        <w:rPr>
          <w:b/>
        </w:rPr>
        <w:t>Stand:</w:t>
      </w:r>
      <w:r>
        <w:t xml:space="preserve"> 18.04.2026</w:t>
      </w:r>
    </w:p>
    <w:p/>
    <w:p>
      <w:pPr>
        <w:pStyle w:val="Heading2"/>
      </w:pPr>
      <w:r>
        <w:rPr>
          <w:rFonts w:ascii="Times New Roman" w:hAnsi="Times New Roman"/>
        </w:rPr>
        <w:t>1. Inhalt der Überstellungsverfügung</w:t>
      </w:r>
    </w:p>
    <w:p>
      <w:pPr>
        <w:jc w:val="left"/>
      </w:pPr>
      <w:r>
        <w:t>Das BAMF hat mit dem Bescheid vom 21.03.2026 zugleich die Unzulässigkeit der Asylanträge festgestellt (§ 29 Abs. 1 Nr. 1 AsylG) und die Abschiebung der Kläger in die zuständigen Mitgliedstaaten angeordnet (§ 34a AsylG):</w:t>
      </w:r>
    </w:p>
    <w:p>
      <w:pPr>
        <w:pStyle w:val="ListBullet"/>
      </w:pPr>
      <w:r>
        <w:rPr>
          <w:b/>
        </w:rPr>
        <w:t>Reza Amiri (Kläger zu 1):</w:t>
      </w:r>
      <w:r>
        <w:t xml:space="preserve"> Abschiebung nach Kroatien (EURODAC-Treffer Kategorie 1 vom 20.02.2025; Kroatien hat Aufnahme am 10.01.2026 akzeptiert)</w:t>
      </w:r>
    </w:p>
    <w:p>
      <w:pPr>
        <w:pStyle w:val="ListBullet"/>
      </w:pPr>
      <w:r>
        <w:rPr>
          <w:b/>
        </w:rPr>
        <w:t>Shirin Hosseini-Tabrizi und Kinder Darius, Yasmin, Bahar, Reza jr. (Kläger zu 2–6):</w:t>
      </w:r>
      <w:r>
        <w:t xml:space="preserve"> Abschiebung nach Griechenland (EURODAC-Treffer Kategorie 1 vom 03.02.2025; Griechenland hat Aufnahme am 17.01.2026 akzeptiert)</w:t>
      </w:r>
    </w:p>
    <w:p>
      <w:pPr>
        <w:jc w:val="left"/>
      </w:pPr>
      <w:r>
        <w:t>Die Verfügung ordnet auch ein Einreise- und Aufenthaltsverbot für Deutschland von 30 Monaten an (§ 11 Abs. 1 AufenthG).</w:t>
      </w:r>
    </w:p>
    <w:p/>
    <w:p>
      <w:pPr>
        <w:pStyle w:val="Heading2"/>
      </w:pPr>
      <w:r>
        <w:rPr>
          <w:rFonts w:ascii="Times New Roman" w:hAnsi="Times New Roman"/>
        </w:rPr>
        <w:t>2. Problematik der gespaltenen Überstellungsverfügung</w:t>
      </w:r>
    </w:p>
    <w:p>
      <w:pPr>
        <w:pStyle w:val="Heading3"/>
      </w:pPr>
      <w:r>
        <w:rPr>
          <w:rFonts w:ascii="Times New Roman" w:hAnsi="Times New Roman"/>
        </w:rPr>
        <w:t>2.1 Verletzung der Familieneinheit</w:t>
      </w:r>
    </w:p>
    <w:p>
      <w:pPr>
        <w:jc w:val="left"/>
      </w:pPr>
      <w:r>
        <w:t>Art. 11 Dublin-III-VO regelt, dass bei gleichzeitiger Antragstellung mehrerer Familienangehöriger der Staat zuständig ist, der für den größten Teil der Familie zuständig wäre, oder — bei Gleichstand — der Staat, der für den ältesten Antragsteller zuständig ist. Die BAMF-Verfügung verstößt gegen dieses Prinzip, indem sie den Vater nach Kroatien und die Mutter mit vier Kindern nach Griechenland überweist.</w:t>
      </w:r>
    </w:p>
    <w:p>
      <w:pPr>
        <w:jc w:val="left"/>
      </w:pPr>
      <w:r>
        <w:rPr>
          <w:b/>
        </w:rPr>
        <w:t>Konsequenz:</w:t>
      </w:r>
      <w:r>
        <w:t xml:space="preserve"> Art. 7 GRCh (Recht auf Familienleben) und Art. 8 EMRK (Privat- und Familienleben) werden verletzt. Eine Überstellungsverfügung, die die Kernfamilie auf zwei verschiedene Mitgliedstaaten aufteilt, ist nach der Rechtsprechung des EuGH (Rs. C-578/16, C.K. u.a., Urt. v. 16.02.2017) unzulässig.</w:t>
      </w:r>
    </w:p>
    <w:p>
      <w:pPr>
        <w:pStyle w:val="Heading3"/>
      </w:pPr>
      <w:r>
        <w:rPr>
          <w:rFonts w:ascii="Times New Roman" w:hAnsi="Times New Roman"/>
        </w:rPr>
        <w:t>2.2 Schutz des Säuglings (Art. 16 Dublin-III-VO)</w:t>
      </w:r>
    </w:p>
    <w:p>
      <w:pPr>
        <w:jc w:val="left"/>
      </w:pPr>
      <w:r>
        <w:t>Reza jr. ist 18 Monate alt, leidet an einem angeborenen Herzfehler und ist dringend auf ärztliche Betreuung angewiesen. Art. 16 Abs. 1 Dublin-III-VO schützt Familienmitglieder, die aufgrund einer schweren Erkrankung dauerhaft auf Unterstützung anderer Familienmitglieder angewiesen sind. Dies erfüllt Reza jr. in besonderem Maße. Das BAMF hat diese Norm nicht angewendet.</w:t>
      </w:r>
    </w:p>
    <w:p>
      <w:pPr>
        <w:pStyle w:val="Heading3"/>
      </w:pPr>
      <w:r>
        <w:rPr>
          <w:rFonts w:ascii="Times New Roman" w:hAnsi="Times New Roman"/>
        </w:rPr>
        <w:t>2.3 Reza jr. — Staatsangehörigkeit und EURODAC</w:t>
      </w:r>
    </w:p>
    <w:p>
      <w:pPr>
        <w:jc w:val="left"/>
      </w:pPr>
      <w:r>
        <w:t>Reza jr. wurde in Griechenland geboren; sein Status ist ungeklärt. Die griechische Seite hat keine Beurkundung vorgenommen; ein iranischer Pass existiert nicht. Das EURODAC-System erfasst Kinder unter 14 Jahren nicht zwingend. Das BAMF hat seine Zuständigkeit für Reza jr. nach Art. 20 Abs. 3 Dublin-III-VO (Begleiteter Minderjähriger) festgestellt — diese Entscheidung ist inkonsequent zum gleichzeitigen Bescheid, Reza jr. soll mit Mutter nach Griechenland übergestellt werden.</w:t>
      </w:r>
    </w:p>
    <w:p/>
    <w:p>
      <w:pPr>
        <w:pStyle w:val="Heading2"/>
      </w:pPr>
      <w:r>
        <w:rPr>
          <w:rFonts w:ascii="Times New Roman" w:hAnsi="Times New Roman"/>
        </w:rPr>
        <w:t>3. Systemische Mängel der Zielstaaten</w:t>
      </w:r>
    </w:p>
    <w:p>
      <w:pPr>
        <w:pStyle w:val="Heading3"/>
      </w:pPr>
      <w:r>
        <w:rPr>
          <w:rFonts w:ascii="Times New Roman" w:hAnsi="Times New Roman"/>
        </w:rPr>
        <w:t>3.1 Griechenland</w:t>
      </w:r>
    </w:p>
    <w:p>
      <w:pPr>
        <w:jc w:val="left"/>
      </w:pPr>
      <w:r>
        <w:t>Die Überstellungspraxis nach Griechenland war durch den EGMR (M.S.S. ./. Belgien und Griechenland, 21.01.2011) für rechtswidrig erklärt worden; Deutschland hatte daraufhin bis 2017 Überstellungen nach Griechenland ausgesetzt. Seit Ende 2021 ermöglicht eine EuGH-Entscheidung (Rs. C-92/21, DG) erneut Überstellungen unter bestimmten Bedingungen — aber nur nach individueller Prüfung der Aufnahmebedingungen für die konkrete Person.</w:t>
      </w:r>
    </w:p>
    <w:p>
      <w:pPr>
        <w:jc w:val="left"/>
      </w:pPr>
      <w:r>
        <w:t>Für eine sechsköpfige Familie mit Säugling und Herzerkrankung sind die Aufnahmebedingungen in Griechenland nicht sichergestellt. UNHCR (2024) berichtet von:</w:t>
      </w:r>
    </w:p>
    <w:p>
      <w:pPr>
        <w:pStyle w:val="ListBullet"/>
      </w:pPr>
      <w:r>
        <w:t>Mangelnden Plätzen in Familienunterkünften</w:t>
      </w:r>
    </w:p>
    <w:p>
      <w:pPr>
        <w:pStyle w:val="ListBullet"/>
      </w:pPr>
      <w:r>
        <w:t>Unzureichender medizinischer Versorgung für Säuglinge und chronisch Kranke</w:t>
      </w:r>
    </w:p>
    <w:p>
      <w:pPr>
        <w:pStyle w:val="ListBullet"/>
      </w:pPr>
      <w:r>
        <w:t>Hohem Risiko der Obdachlosigkeit für anerkannte Schutzberechtigte</w:t>
      </w:r>
    </w:p>
    <w:p>
      <w:pPr>
        <w:pStyle w:val="Heading3"/>
      </w:pPr>
      <w:r>
        <w:rPr>
          <w:rFonts w:ascii="Times New Roman" w:hAnsi="Times New Roman"/>
        </w:rPr>
        <w:t>3.2 Kroatien</w:t>
      </w:r>
    </w:p>
    <w:p>
      <w:pPr>
        <w:jc w:val="left"/>
      </w:pPr>
      <w:r>
        <w:t>Kroatien wird wegen systematischer Pushbacks an der EU-Außengrenze kritisiert. Für das laufende Verfahren bedeutet dies: Eine Rückkehr nach Kroatien für Reza Amiri birgt das Risiko, dass er dort nicht sicher bleibt oder weiter abgeschoben wird (sog. chain refoulement — Kettenabschiebung). Der EuGH (Rs. C-411/10) und Art. 33 GFK schützen vor solchen Kettenabschiebungen.</w:t>
      </w:r>
    </w:p>
    <w:p/>
    <w:p>
      <w:pPr>
        <w:pStyle w:val="Heading2"/>
      </w:pPr>
      <w:r>
        <w:rPr>
          <w:rFonts w:ascii="Times New Roman" w:hAnsi="Times New Roman"/>
        </w:rPr>
        <w:t>4. Überstellungsfristen — Aktueller Stand</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Ereignis</w:t>
            </w:r>
          </w:p>
        </w:tc>
        <w:tc>
          <w:tcPr>
            <w:tcW w:type="dxa" w:w="4536"/>
          </w:tcPr>
          <w:p>
            <w:r>
              <w:rPr>
                <w:rFonts w:ascii="Times New Roman" w:hAnsi="Times New Roman"/>
                <w:b/>
                <w:sz w:val="20"/>
              </w:rPr>
              <w:t>Datum</w:t>
            </w:r>
          </w:p>
        </w:tc>
      </w:tr>
      <w:tr>
        <w:tc>
          <w:tcPr>
            <w:tcW w:type="dxa" w:w="4536"/>
          </w:tcPr>
          <w:p>
            <w:r>
              <w:rPr>
                <w:rFonts w:ascii="Times New Roman" w:hAnsi="Times New Roman"/>
                <w:sz w:val="20"/>
              </w:rPr>
              <w:t>Aufnahmeersuchen BAMF an Kroatien</w:t>
            </w:r>
          </w:p>
        </w:tc>
        <w:tc>
          <w:tcPr>
            <w:tcW w:type="dxa" w:w="4536"/>
          </w:tcPr>
          <w:p>
            <w:r>
              <w:rPr>
                <w:rFonts w:ascii="Times New Roman" w:hAnsi="Times New Roman"/>
                <w:sz w:val="20"/>
              </w:rPr>
              <w:t>ca. Oktober 2025</w:t>
            </w:r>
          </w:p>
        </w:tc>
      </w:tr>
      <w:tr>
        <w:tc>
          <w:tcPr>
            <w:tcW w:type="dxa" w:w="4536"/>
          </w:tcPr>
          <w:p>
            <w:r>
              <w:rPr>
                <w:rFonts w:ascii="Times New Roman" w:hAnsi="Times New Roman"/>
                <w:sz w:val="20"/>
              </w:rPr>
              <w:t>Annahme durch Kroatien</w:t>
            </w:r>
          </w:p>
        </w:tc>
        <w:tc>
          <w:tcPr>
            <w:tcW w:type="dxa" w:w="4536"/>
          </w:tcPr>
          <w:p>
            <w:r>
              <w:rPr>
                <w:rFonts w:ascii="Times New Roman" w:hAnsi="Times New Roman"/>
                <w:sz w:val="20"/>
              </w:rPr>
              <w:t>10.01.2026</w:t>
            </w:r>
          </w:p>
        </w:tc>
      </w:tr>
      <w:tr>
        <w:tc>
          <w:tcPr>
            <w:tcW w:type="dxa" w:w="4536"/>
          </w:tcPr>
          <w:p>
            <w:r>
              <w:rPr>
                <w:rFonts w:ascii="Times New Roman" w:hAnsi="Times New Roman"/>
                <w:sz w:val="20"/>
              </w:rPr>
              <w:t>Aufnahmeersuchen BAMF an Griechenland</w:t>
            </w:r>
          </w:p>
        </w:tc>
        <w:tc>
          <w:tcPr>
            <w:tcW w:type="dxa" w:w="4536"/>
          </w:tcPr>
          <w:p>
            <w:r>
              <w:rPr>
                <w:rFonts w:ascii="Times New Roman" w:hAnsi="Times New Roman"/>
                <w:sz w:val="20"/>
              </w:rPr>
              <w:t>ca. Oktober 2025</w:t>
            </w:r>
          </w:p>
        </w:tc>
      </w:tr>
      <w:tr>
        <w:tc>
          <w:tcPr>
            <w:tcW w:type="dxa" w:w="4536"/>
          </w:tcPr>
          <w:p>
            <w:r>
              <w:rPr>
                <w:rFonts w:ascii="Times New Roman" w:hAnsi="Times New Roman"/>
                <w:sz w:val="20"/>
              </w:rPr>
              <w:t>Annahme durch Griechenland</w:t>
            </w:r>
          </w:p>
        </w:tc>
        <w:tc>
          <w:tcPr>
            <w:tcW w:type="dxa" w:w="4536"/>
          </w:tcPr>
          <w:p>
            <w:r>
              <w:rPr>
                <w:rFonts w:ascii="Times New Roman" w:hAnsi="Times New Roman"/>
                <w:sz w:val="20"/>
              </w:rPr>
              <w:t>17.01.2026</w:t>
            </w:r>
          </w:p>
        </w:tc>
      </w:tr>
      <w:tr>
        <w:tc>
          <w:tcPr>
            <w:tcW w:type="dxa" w:w="4536"/>
          </w:tcPr>
          <w:p>
            <w:r>
              <w:rPr>
                <w:rFonts w:ascii="Times New Roman" w:hAnsi="Times New Roman"/>
                <w:sz w:val="20"/>
              </w:rPr>
              <w:t>Überstellungsverfügung BAMF</w:t>
            </w:r>
          </w:p>
        </w:tc>
        <w:tc>
          <w:tcPr>
            <w:tcW w:type="dxa" w:w="4536"/>
          </w:tcPr>
          <w:p>
            <w:r>
              <w:rPr>
                <w:rFonts w:ascii="Times New Roman" w:hAnsi="Times New Roman"/>
                <w:sz w:val="20"/>
              </w:rPr>
              <w:t>21.03.2026</w:t>
            </w:r>
          </w:p>
        </w:tc>
      </w:tr>
      <w:tr>
        <w:tc>
          <w:tcPr>
            <w:tcW w:type="dxa" w:w="4536"/>
          </w:tcPr>
          <w:p>
            <w:r>
              <w:rPr>
                <w:rFonts w:ascii="Times New Roman" w:hAnsi="Times New Roman"/>
                <w:sz w:val="20"/>
              </w:rPr>
              <w:t>Klageerhebung</w:t>
            </w:r>
          </w:p>
        </w:tc>
        <w:tc>
          <w:tcPr>
            <w:tcW w:type="dxa" w:w="4536"/>
          </w:tcPr>
          <w:p>
            <w:r>
              <w:rPr>
                <w:rFonts w:ascii="Times New Roman" w:hAnsi="Times New Roman"/>
                <w:sz w:val="20"/>
              </w:rPr>
              <w:t>07.04.2026</w:t>
            </w:r>
          </w:p>
        </w:tc>
      </w:tr>
      <w:tr>
        <w:tc>
          <w:tcPr>
            <w:tcW w:type="dxa" w:w="4536"/>
          </w:tcPr>
          <w:p>
            <w:r>
              <w:rPr>
                <w:rFonts w:ascii="Times New Roman" w:hAnsi="Times New Roman"/>
                <w:sz w:val="20"/>
              </w:rPr>
              <w:t>Eilantrag § 80 Abs. 5 VwGO</w:t>
            </w:r>
          </w:p>
        </w:tc>
        <w:tc>
          <w:tcPr>
            <w:tcW w:type="dxa" w:w="4536"/>
          </w:tcPr>
          <w:p>
            <w:r>
              <w:rPr>
                <w:rFonts w:ascii="Times New Roman" w:hAnsi="Times New Roman"/>
                <w:sz w:val="20"/>
              </w:rPr>
              <w:t>Geplant 22.04.2026</w:t>
            </w:r>
          </w:p>
        </w:tc>
      </w:tr>
      <w:tr>
        <w:tc>
          <w:tcPr>
            <w:tcW w:type="dxa" w:w="4536"/>
          </w:tcPr>
          <w:p>
            <w:r>
              <w:rPr>
                <w:rFonts w:ascii="Times New Roman" w:hAnsi="Times New Roman"/>
                <w:sz w:val="20"/>
              </w:rPr>
              <w:t>Fristablauf 6 Monate (Kroatien)</w:t>
            </w:r>
          </w:p>
        </w:tc>
        <w:tc>
          <w:tcPr>
            <w:tcW w:type="dxa" w:w="4536"/>
          </w:tcPr>
          <w:p>
            <w:r>
              <w:rPr>
                <w:rFonts w:ascii="Times New Roman" w:hAnsi="Times New Roman"/>
                <w:sz w:val="20"/>
              </w:rPr>
              <w:t>ca. 10.07.2026</w:t>
            </w:r>
          </w:p>
        </w:tc>
      </w:tr>
      <w:tr>
        <w:tc>
          <w:tcPr>
            <w:tcW w:type="dxa" w:w="4536"/>
          </w:tcPr>
          <w:p>
            <w:r>
              <w:rPr>
                <w:rFonts w:ascii="Times New Roman" w:hAnsi="Times New Roman"/>
                <w:sz w:val="20"/>
              </w:rPr>
              <w:t>Fristablauf 6 Monate (Griechenland)</w:t>
            </w:r>
          </w:p>
        </w:tc>
        <w:tc>
          <w:tcPr>
            <w:tcW w:type="dxa" w:w="4536"/>
          </w:tcPr>
          <w:p>
            <w:r>
              <w:rPr>
                <w:rFonts w:ascii="Times New Roman" w:hAnsi="Times New Roman"/>
                <w:sz w:val="20"/>
              </w:rPr>
              <w:t>ca. 17.07.2026</w:t>
            </w:r>
          </w:p>
        </w:tc>
      </w:tr>
    </w:tbl>
    <w:p>
      <w:pPr>
        <w:ind w:left="567"/>
      </w:pPr>
      <w:r>
        <w:rPr>
          <w:i/>
        </w:rPr>
        <w:t>Wichtig: Gemäß § 80 Abs. 5 VwGO i.V.m. § 34a Abs. 2 Satz 2 AsylG hat die Klage keine aufschiebende Wirkung. Der Eilantrag muss unverzüglich gestellt werden, um die Überstellung zu stoppen. Bis zur gerichtlichen Entscheidung ist keine Vollziehung möglich, sobald der Eilantrag gestellt ist (de facto Suspensiveffekt durch das Gericht).</w:t>
      </w:r>
    </w:p>
    <w:p/>
    <w:p>
      <w:pPr>
        <w:pStyle w:val="Heading2"/>
      </w:pPr>
      <w:r>
        <w:rPr>
          <w:rFonts w:ascii="Times New Roman" w:hAnsi="Times New Roman"/>
        </w:rPr>
        <w:t>5. Selbsteintrittsrecht Deutschland (Art. 17 Dublin-III-VO)</w:t>
      </w:r>
    </w:p>
    <w:p>
      <w:pPr>
        <w:jc w:val="left"/>
      </w:pPr>
      <w:r>
        <w:t>Deutschland kann jederzeit den Asylantrag inhaltlich prüfen, auch wenn es formal nicht zuständig ist (Art. 17 Abs. 1 Dublin-III-VO). Kriterien für den Selbsteintritt:</w:t>
      </w:r>
    </w:p>
    <w:p>
      <w:pPr>
        <w:pStyle w:val="ListBullet"/>
      </w:pPr>
      <w:r>
        <w:t>Humanitäre Erwägungen (Herzoperation Reza jr.)</w:t>
      </w:r>
    </w:p>
    <w:p>
      <w:pPr>
        <w:pStyle w:val="ListBullet"/>
      </w:pPr>
      <w:r>
        <w:t>Drohende Verletzung der Grundrechte im Zielstaat</w:t>
      </w:r>
    </w:p>
    <w:p>
      <w:pPr>
        <w:pStyle w:val="ListBullet"/>
      </w:pPr>
      <w:r>
        <w:t>Erhebliche familiäre Härte (Familientrennung)</w:t>
      </w:r>
    </w:p>
    <w:p>
      <w:pPr>
        <w:pStyle w:val="ListBullet"/>
      </w:pPr>
      <w:r>
        <w:t>Vertretbarkeit aus kapazitären Gründen</w:t>
      </w:r>
    </w:p>
    <w:p>
      <w:pPr>
        <w:jc w:val="left"/>
      </w:pPr>
      <w:r>
        <w:t>Es wird ein ausdrücklicher Antrag auf Selbsteintritt im Eilverfahren gestellt. Dieser Antrag hat zwar keine aufschiebende Wirkung per se, stärkt jedoch die Argumentation im Eilantrag nach § 80 Abs. 5 VwGO erheblich.</w:t>
      </w:r>
    </w:p>
    <w:p/>
    <w:p>
      <w:pPr>
        <w:jc w:val="left"/>
      </w:pPr>
      <w:r>
        <w:rPr>
          <w:b/>
        </w:rPr>
        <w:t>Erstellt:</w:t>
      </w:r>
      <w:r>
        <w:t xml:space="preserve"> 18.04.2026, RAin V. Kollatz-Ahnen</w:t>
      </w:r>
    </w:p>
    <w:p>
      <w:pPr>
        <w:jc w:val="left"/>
      </w:pPr>
      <w:r>
        <w:rPr>
          <w:b/>
        </w:rPr>
        <w:t>Quellen:</w:t>
      </w:r>
      <w:r>
        <w:t xml:space="preserve"> Dublin-III-VO (EU) Nr. 604/2013, Art. 11, 16, 17, 29; § 34a AsylG; § 29 AsylG; EuGH Rs. C-578/16; EuGH Rs. C-411/10; EGMR M.S.S. ./. Belgien u. Griechenland; UNHCR-Bericht Griechenland 2024; BVMN-Bericht Kroatien 2025; Art. 7 GRCh; Art. 8 EMRK</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