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Eilantrag § 80 Abs. 5 VwGO gegen Dublin-Überstellung</w:t>
      </w:r>
    </w:p>
    <w:p>
      <w:pPr>
        <w:jc w:val="left"/>
      </w:pPr>
      <w:r>
        <w:rPr>
          <w:b/>
        </w:rPr>
        <w:t>Verfahren:</w:t>
      </w:r>
      <w:r>
        <w:t xml:space="preserve"> Eilantrag VG Hannover (Asylsache, Dublin)</w:t>
      </w:r>
    </w:p>
    <w:p>
      <w:pPr>
        <w:jc w:val="left"/>
      </w:pPr>
      <w:r>
        <w:rPr>
          <w:b/>
        </w:rPr>
        <w:t>Stellung:</w:t>
      </w:r>
      <w:r>
        <w:t xml:space="preserve"> 22.04.2026</w:t>
      </w:r>
    </w:p>
    <w:p>
      <w:pPr>
        <w:jc w:val="left"/>
      </w:pPr>
      <w:r>
        <w:rPr>
          <w:b/>
        </w:rPr>
        <w:t>Antragsteller:</w:t>
      </w:r>
      <w:r>
        <w:t xml:space="preserve"> Reza Amiri u.a. (Kläger zu 1–6)</w:t>
      </w:r>
    </w:p>
    <w:p>
      <w:pPr>
        <w:jc w:val="left"/>
      </w:pPr>
      <w:r>
        <w:rPr>
          <w:b/>
        </w:rPr>
        <w:t>Antragsgegner:</w:t>
      </w:r>
      <w:r>
        <w:t xml:space="preserve"> Bundesrepublik Deutschland (BAMF)</w:t>
      </w:r>
    </w:p>
    <w:p>
      <w:pPr>
        <w:jc w:val="left"/>
      </w:pPr>
      <w:r>
        <w:rPr>
          <w:b/>
        </w:rPr>
        <w:t>Stand:</w:t>
      </w:r>
      <w:r>
        <w:t xml:space="preserve"> 21.04.2026</w:t>
      </w:r>
    </w:p>
    <w:p/>
    <w:p>
      <w:pPr>
        <w:pStyle w:val="Heading2"/>
      </w:pPr>
      <w:r>
        <w:rPr>
          <w:rFonts w:ascii="Times New Roman" w:hAnsi="Times New Roman"/>
        </w:rPr>
        <w:t>1. Prozessuale Einordnung</w:t>
      </w:r>
    </w:p>
    <w:p>
      <w:pPr>
        <w:jc w:val="left"/>
      </w:pPr>
      <w:r>
        <w:t>Gemäß § 34a Abs. 2 Satz 1 AsylG ist die Abschiebungsanordnung nach § 34a AsylG grundsätzlich sofort vollziehbar; die Klage entfaltet keine aufschiebende Wirkung (§ 75 AsylG). Die Kläger müssen daher nach § 34a Abs. 2 Satz 2 AsylG i.V.m. § 80 Abs. 5 VwGO die Anordnung der aufschiebenden Wirkung beim Verwaltungsgericht beantragen.</w:t>
      </w:r>
    </w:p>
    <w:p>
      <w:pPr>
        <w:jc w:val="left"/>
      </w:pPr>
      <w:r>
        <w:t>Die Antragsfrist beträgt gemäß § 34a Abs. 2 Satz 2 AsylG eine Woche ab Bekanntgabe der Abschiebungsanordnung. Der Bescheid wurde am 25.03.2026 zugestellt; Fristende wäre der 01.04.2026 gewesen. RAin Kollatz-Ahnen hat bei Mandatsübernahme (14.04.2026) festgestellt, dass die Caritas am 31.03.2026 einen vorläufigen Eilantrag ohne anwaltliche Vertretung gestellt hatte. Dieses Schreiben ist als Antragstellung anzusehen; das VG hat noch nicht entschieden.</w:t>
      </w:r>
    </w:p>
    <w:p/>
    <w:p>
      <w:pPr>
        <w:pStyle w:val="Heading2"/>
      </w:pPr>
      <w:r>
        <w:rPr>
          <w:rFonts w:ascii="Times New Roman" w:hAnsi="Times New Roman"/>
        </w:rPr>
        <w:t>2. Antragsbegründung (Kurzfassung)</w:t>
      </w:r>
    </w:p>
    <w:p>
      <w:pPr>
        <w:pStyle w:val="Heading3"/>
      </w:pPr>
      <w:r>
        <w:rPr>
          <w:rFonts w:ascii="Times New Roman" w:hAnsi="Times New Roman"/>
        </w:rPr>
        <w:t>2.1 Verletzung der Familieneinheit</w:t>
      </w:r>
    </w:p>
    <w:p>
      <w:pPr>
        <w:jc w:val="left"/>
      </w:pPr>
      <w:r>
        <w:t>Die Überstellungsverfügung sieht die Abschiebung des Vaters nach Kroatien und der Mutter mit Kindern nach Griechenland vor. Diese Trennung der Kernfamilie ist mit Art. 7 GRCh (Recht auf Familienleben) und Art. 8 EMRK unvereinbar. Der EuGH (Rs. C-578/16, C.K. u.a.) hat klargestellt, dass eine Überstellung trotz formeller Zuständigkeit unzulässig ist, wenn sie zu einer Verletzung von Art. 4 GRCh oder Art. 7 GRCh führen würde.</w:t>
      </w:r>
    </w:p>
    <w:p>
      <w:pPr>
        <w:jc w:val="left"/>
      </w:pPr>
      <w:r>
        <w:t>Der Antrag auf Anordnung der aufschiebenden Wirkung hat bei der Interessenabwägung Erfolg, wenn:</w:t>
      </w:r>
    </w:p>
    <w:p>
      <w:pPr>
        <w:jc w:val="left"/>
      </w:pPr>
      <w:r>
        <w:t>a) ernstliche Zweifel an der Rechtmäßigkeit des Bescheids bestehen, oder</w:t>
      </w:r>
    </w:p>
    <w:p>
      <w:pPr>
        <w:jc w:val="left"/>
      </w:pPr>
      <w:r>
        <w:t>b) die Vollziehung für den Antragsteller eine unbillige Härte bedeutet.</w:t>
      </w:r>
    </w:p>
    <w:p>
      <w:pPr>
        <w:jc w:val="left"/>
      </w:pPr>
      <w:r>
        <w:t>Beides ist hier gegeben.</w:t>
      </w:r>
    </w:p>
    <w:p>
      <w:pPr>
        <w:pStyle w:val="Heading3"/>
      </w:pPr>
      <w:r>
        <w:rPr>
          <w:rFonts w:ascii="Times New Roman" w:hAnsi="Times New Roman"/>
        </w:rPr>
        <w:t>2.2 Systemische Mängel Griechenland</w:t>
      </w:r>
    </w:p>
    <w:p>
      <w:pPr>
        <w:jc w:val="left"/>
      </w:pPr>
      <w:r>
        <w:rPr>
          <w:b/>
        </w:rPr>
        <w:t>Für die Kläger zu 2–6 (Shirin und Kinder):</w:t>
      </w:r>
    </w:p>
    <w:p>
      <w:pPr>
        <w:jc w:val="left"/>
      </w:pPr>
      <w:r>
        <w:t>Griechenland bleibt ein problematischer Überstellungsstaat für vulnerable Personen. UNHCR (Bericht April 2024) empfiehlt, bei Familien mit Kleinkindern und medizinischem Bedarf eine individuelle Prüfung der Aufnahmebedingungen vorzunehmen. Konkret:</w:t>
      </w:r>
    </w:p>
    <w:p>
      <w:pPr>
        <w:pStyle w:val="ListBullet"/>
      </w:pPr>
      <w:r>
        <w:t>Für Reza jr. (18 Monate, Herzleiden) sind in Griechenland keine gleichwertigen kardiologischen Behandlungsmöglichkeiten wie an der MHH Hannover gesichert.</w:t>
      </w:r>
    </w:p>
    <w:p>
      <w:pPr>
        <w:pStyle w:val="ListBullet"/>
      </w:pPr>
      <w:r>
        <w:t>UNHCR stuft die kindgerechten Unterbringungskapazitäten auf dem griechischen Festland als unzureichend ein.</w:t>
      </w:r>
    </w:p>
    <w:p>
      <w:pPr>
        <w:pStyle w:val="ListBullet"/>
      </w:pPr>
      <w:r>
        <w:t>EuGH (Rs. C-163/17, Jawo, Urt. v. 19.03.2019): Überstellungen sind unzulässig, wenn die Aufnahmebedingungen systemische Mängel aufweisen, die zu einer Situation extremer materieller Not führen würden.</w:t>
      </w:r>
    </w:p>
    <w:p>
      <w:pPr>
        <w:pStyle w:val="Heading3"/>
      </w:pPr>
      <w:r>
        <w:rPr>
          <w:rFonts w:ascii="Times New Roman" w:hAnsi="Times New Roman"/>
        </w:rPr>
        <w:t>2.3 Systemische Mängel Kroatien und Kettenabschiebung</w:t>
      </w:r>
    </w:p>
    <w:p>
      <w:pPr>
        <w:jc w:val="left"/>
      </w:pPr>
      <w:r>
        <w:rPr>
          <w:b/>
        </w:rPr>
        <w:t>Für den Kläger zu 1 (Reza Amiri):</w:t>
      </w:r>
    </w:p>
    <w:p>
      <w:pPr>
        <w:jc w:val="left"/>
      </w:pPr>
      <w:r>
        <w:t>Kroatien hat dokumentierte Pushback-Praktiken an seinen Außengrenzen. UNHCR (2025) und das Border Violence Monitoring Network belegen, dass Personen, die nach Kroatien zurückgestellt werden, Risiko laufen, ohne Anhörung wieder nach Bosnien abgeschoben zu werden. Eine solche Kettenabschiebung würde das Refoulement-Verbot (Art. 33 GFK; Art. 19 GRCh) verletzen.</w:t>
      </w:r>
    </w:p>
    <w:p>
      <w:pPr>
        <w:pStyle w:val="Heading3"/>
      </w:pPr>
      <w:r>
        <w:rPr>
          <w:rFonts w:ascii="Times New Roman" w:hAnsi="Times New Roman"/>
        </w:rPr>
        <w:t>2.4 Lebensbedrohliche Erkrankung Reza jr.</w:t>
      </w:r>
    </w:p>
    <w:p>
      <w:pPr>
        <w:jc w:val="left"/>
      </w:pPr>
      <w:r>
        <w:t>Das ärztliche Attest der Kinderkardiologen der MHH vom 15.03.2026 (→ Aktenstück 17) bescheinigt eine schwere angeborene Herzerkrankung (Ventrikelseptumdefekt Typ II mit Aortenstenose). Der geplante OP-Termin ist für den 15.07.2026 an der MHH vorgesehen. Eine Überstellung vor oder unmittelbar nach der OP würde die medizinische Nachbehandlung gefährden und das Kindeswohl erheblich beeinträchtigen.</w:t>
      </w:r>
    </w:p>
    <w:p/>
    <w:p>
      <w:pPr>
        <w:pStyle w:val="Heading2"/>
      </w:pPr>
      <w:r>
        <w:rPr>
          <w:rFonts w:ascii="Times New Roman" w:hAnsi="Times New Roman"/>
        </w:rPr>
        <w:t>3. Antrag</w:t>
      </w:r>
    </w:p>
    <w:p>
      <w:pPr>
        <w:jc w:val="left"/>
      </w:pPr>
      <w:r>
        <w:rPr>
          <w:b/>
        </w:rPr>
        <w:t>Es wird beantragt:</w:t>
      </w:r>
    </w:p>
    <w:p>
      <w:pPr>
        <w:pStyle w:val="ListNumber"/>
      </w:pPr>
      <w:r>
        <w:t>Die aufschiebende Wirkung der Klage VG Hannover 4 A 4188/26 gegen die Abschiebungsanordnung in Ziffer 4 des Bescheids des Bundesamts für Migration und Flüchtlinge vom 21.03.2026 (ZA 9-44-188-2026) anzuordnen.</w:t>
      </w:r>
    </w:p>
    <w:p>
      <w:pPr>
        <w:pStyle w:val="ListNumber"/>
      </w:pPr>
      <w:r>
        <w:t>Hilfsweise: Dem Antragsgegner aufzugeben, bis zu einer rechtskräftigen Entscheidung in der Hauptsache keine Abschiebung der Antragsteller nach Kroatien oder Griechenland zu vollziehen.</w:t>
      </w:r>
    </w:p>
    <w:p>
      <w:pPr>
        <w:pStyle w:val="ListNumber"/>
      </w:pPr>
      <w:r>
        <w:t>Dem Antragsgegner die Kosten des Verfahrens aufzuerlegen.</w:t>
      </w:r>
    </w:p>
    <w:p>
      <w:pPr>
        <w:pStyle w:val="ListNumber"/>
      </w:pPr>
      <w:r>
        <w:t>Den Antragstellern Prozesskostenhilfe unter Beiordnung von RAin Veronika Kollatz-Ahnen zu bewilligen.</w:t>
      </w:r>
    </w:p>
    <w:p/>
    <w:p>
      <w:pPr>
        <w:pStyle w:val="Heading2"/>
      </w:pPr>
      <w:r>
        <w:rPr>
          <w:rFonts w:ascii="Times New Roman" w:hAnsi="Times New Roman"/>
        </w:rPr>
        <w:t>4. Interessenabwägung</w:t>
      </w:r>
    </w:p>
    <w:p>
      <w:pPr>
        <w:jc w:val="left"/>
      </w:pPr>
      <w:r>
        <w:t>Das Gericht nimmt im Eilverfahren eine Interessenabwägung vor:</w:t>
      </w:r>
    </w:p>
    <w:p>
      <w:pPr>
        <w:jc w:val="left"/>
      </w:pPr>
      <w:r>
        <w:rPr>
          <w:b/>
        </w:rPr>
        <w:t>Interessen der Antragsteller:</w:t>
      </w:r>
    </w:p>
    <w:p>
      <w:pPr>
        <w:pStyle w:val="ListBullet"/>
      </w:pPr>
      <w:r>
        <w:t>Lebensbedrohliche Erkrankung Reza jr. (OP am 15.07.2026)</w:t>
      </w:r>
    </w:p>
    <w:p>
      <w:pPr>
        <w:pStyle w:val="ListBullet"/>
      </w:pPr>
      <w:r>
        <w:t>Familientrennung durch gespaltene Überstellungsverfügung</w:t>
      </w:r>
    </w:p>
    <w:p>
      <w:pPr>
        <w:pStyle w:val="ListBullet"/>
      </w:pPr>
      <w:r>
        <w:t>Erhebliche Zweifel an Aufnahmebedingungen in Griechenland und Kroatien</w:t>
      </w:r>
    </w:p>
    <w:p>
      <w:pPr>
        <w:jc w:val="left"/>
      </w:pPr>
      <w:r>
        <w:rPr>
          <w:b/>
        </w:rPr>
        <w:t>Öffentliches Vollzugsinteresse:</w:t>
      </w:r>
    </w:p>
    <w:p>
      <w:pPr>
        <w:pStyle w:val="ListBullet"/>
      </w:pPr>
      <w:r>
        <w:t>Erhaltung der Dublin-Systemfunktionalität</w:t>
      </w:r>
    </w:p>
    <w:p>
      <w:pPr>
        <w:pStyle w:val="ListBullet"/>
      </w:pPr>
      <w:r>
        <w:t>Verhinderung von Kettenmigration</w:t>
      </w:r>
    </w:p>
    <w:p>
      <w:pPr>
        <w:jc w:val="left"/>
      </w:pPr>
      <w:r>
        <w:t>Die Abwägung fällt deutlich zugunsten der Antragsteller aus: Das Leben eines Säuglings und der Bestand der Kernfamilie überwiegen abstrakte Verwaltungsinteressen erheblich.</w:t>
      </w:r>
    </w:p>
    <w:p/>
    <w:p>
      <w:pPr>
        <w:pStyle w:val="Heading2"/>
      </w:pPr>
      <w:r>
        <w:rPr>
          <w:rFonts w:ascii="Times New Roman" w:hAnsi="Times New Roman"/>
        </w:rPr>
        <w:t>5. Vorläufige Duldung</w:t>
      </w:r>
    </w:p>
    <w:p>
      <w:pPr>
        <w:jc w:val="left"/>
      </w:pPr>
      <w:r>
        <w:t>Für den Fall, dass das Gericht keine aufschiebende Wirkung anordnet, aber auch keine sofortige Abschiebung zulässt, wird die Ausländerbehörde Region Hannover gebeten, eine Duldung nach § 60a Abs. 2 AufenthG auszustellen. Diese ist wegen des OP-Termins von Reza jr. aus humanitären Gründen geboten.</w:t>
      </w:r>
    </w:p>
    <w:p/>
    <w:p>
      <w:pPr>
        <w:jc w:val="left"/>
      </w:pPr>
      <w:r>
        <w:rPr>
          <w:b/>
        </w:rPr>
        <w:t>Erstellt:</w:t>
      </w:r>
      <w:r>
        <w:t xml:space="preserve"> 21.04.2026, RAin V. Kollatz-Ahnen</w:t>
      </w:r>
    </w:p>
    <w:p>
      <w:pPr>
        <w:jc w:val="left"/>
      </w:pPr>
      <w:r>
        <w:rPr>
          <w:b/>
        </w:rPr>
        <w:t>Rechtsquellen:</w:t>
      </w:r>
      <w:r>
        <w:t xml:space="preserve"> § 34a Abs. 2 AsylG; § 80 Abs. 5 VwGO; Art. 7 GRCh; Art. 8 EMRK; Art. 4 GRCh; EuGH Rs. C-578/16; EuGH Rs. C-163/17; Art. 33 GFK; § 60a AufenthG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