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Familiennachzug Mahnoor Amiri — Visumsablehnung Deutsche Botschaft Teheran</w:t>
      </w:r>
    </w:p>
    <w:p>
      <w:pPr>
        <w:jc w:val="left"/>
      </w:pPr>
      <w:r>
        <w:rPr>
          <w:b/>
        </w:rPr>
        <w:t>Verfahren:</w:t>
      </w:r>
      <w:r>
        <w:t xml:space="preserve"> VG Berlin 38 K 88/26</w:t>
      </w:r>
    </w:p>
    <w:p>
      <w:pPr>
        <w:jc w:val="left"/>
      </w:pPr>
      <w:r>
        <w:rPr>
          <w:b/>
        </w:rPr>
        <w:t>Bescheid Botschaft Teheran:</w:t>
      </w:r>
      <w:r>
        <w:t xml:space="preserve"> 07.01.2026</w:t>
      </w:r>
    </w:p>
    <w:p>
      <w:pPr>
        <w:jc w:val="left"/>
      </w:pPr>
      <w:r>
        <w:rPr>
          <w:b/>
        </w:rPr>
        <w:t>Klage erhoben:</w:t>
      </w:r>
      <w:r>
        <w:t xml:space="preserve"> 06.03.2026</w:t>
      </w:r>
    </w:p>
    <w:p>
      <w:pPr>
        <w:jc w:val="left"/>
      </w:pPr>
      <w:r>
        <w:rPr>
          <w:b/>
        </w:rPr>
        <w:t>Stand:</w:t>
      </w:r>
      <w:r>
        <w:t xml:space="preserve"> 20.04.2026</w:t>
      </w:r>
    </w:p>
    <w:p/>
    <w:p>
      <w:pPr>
        <w:pStyle w:val="Heading2"/>
      </w:pPr>
      <w:r>
        <w:rPr>
          <w:rFonts w:ascii="Times New Roman" w:hAnsi="Times New Roman"/>
        </w:rPr>
        <w:t>1. Sachverhalt</w:t>
      </w:r>
    </w:p>
    <w:p>
      <w:pPr>
        <w:jc w:val="left"/>
      </w:pPr>
      <w:r>
        <w:t>Mahnoor Amiri (geb. 03.02.2007, Mashhad), volljährige Tochter der Kläger des Asylhauptverfahrens, hat am 08.10.2025 bei der Deutschen Botschaft Teheran einen Antrag auf ein nationales Visum zum Zweck der Familienzusammenführung mit ihren Eltern in Deutschland gestellt.</w:t>
      </w:r>
    </w:p>
    <w:p>
      <w:pPr>
        <w:jc w:val="left"/>
      </w:pPr>
      <w:r>
        <w:t>Die Deutsche Botschaft Teheran hat den Antrag mit Bescheid vom 07.01.2026 abgelehnt. Begründung:</w:t>
      </w:r>
    </w:p>
    <w:p>
      <w:pPr>
        <w:pStyle w:val="ListNumber"/>
      </w:pPr>
      <w:r>
        <w:t>Die Eltern (Referenzpersonen) verfügen über keinen anerkannten Aufenthaltstitel in Deutschland; sie haben lediglich eine Aufenthaltsgestattung nach § 55 AsylG.</w:t>
      </w:r>
    </w:p>
    <w:p>
      <w:pPr>
        <w:pStyle w:val="ListNumber"/>
      </w:pPr>
      <w:r>
        <w:t>Mahnoor ist volljährig; ein Nachzug zu Asylsuchenden ohne Aufenthaltstitel ist nach § 29 Abs. 1 Nr. 1 AufenthG ausgeschlossen.</w:t>
      </w:r>
    </w:p>
    <w:p>
      <w:pPr>
        <w:pStyle w:val="ListNumber"/>
      </w:pPr>
      <w:r>
        <w:t>Ein eigenständiges Aufenthaltsrecht (z.B. humanitäres Visum) wurde nicht beantragt.</w:t>
      </w:r>
    </w:p>
    <w:p/>
    <w:p>
      <w:pPr>
        <w:pStyle w:val="Heading2"/>
      </w:pPr>
      <w:r>
        <w:rPr>
          <w:rFonts w:ascii="Times New Roman" w:hAnsi="Times New Roman"/>
        </w:rPr>
        <w:t>2. Rechtliche Einordnung</w:t>
      </w:r>
    </w:p>
    <w:p>
      <w:pPr>
        <w:pStyle w:val="Heading3"/>
      </w:pPr>
      <w:r>
        <w:rPr>
          <w:rFonts w:ascii="Times New Roman" w:hAnsi="Times New Roman"/>
        </w:rPr>
        <w:t>2.1 § 36 AufenthG — Nachzug sonstiger Familienangehöriger</w:t>
      </w:r>
    </w:p>
    <w:p>
      <w:pPr>
        <w:jc w:val="left"/>
      </w:pPr>
      <w:r>
        <w:t>§ 36 Abs. 2 AufenthG ermöglicht Nachzug eines volljährigen Kindes, wenn zur Vermeidung einer außergewöhnlichen Härte die Erteilung eines Aufenthaltstitels erforderlich ist. Diese Norm setzt ebenfalls voraus, dass die Referenzperson einen Aufenthaltstitel besitzt.</w:t>
      </w:r>
    </w:p>
    <w:p>
      <w:pPr>
        <w:jc w:val="left"/>
      </w:pPr>
      <w:r>
        <w:rPr>
          <w:b/>
        </w:rPr>
        <w:t>Einschätzung:</w:t>
      </w:r>
      <w:r>
        <w:t xml:space="preserve"> Solange die Eltern keinen anerkannten Schutzstatus haben, ist § 36 Abs. 2 AufenthG formal nicht anwendbar. Sobald die Klage VG Hannover 4 A 4188/26 zugunsten der Kläger entschieden wird (Flüchtlingsschutz § 3 AsylG), eröffnet sich der privilegierte Familiennachzug nach § 29 Abs. 2 AufenthG i.V.m. § 36 AufenthG.</w:t>
      </w:r>
    </w:p>
    <w:p>
      <w:pPr>
        <w:pStyle w:val="Heading3"/>
      </w:pPr>
      <w:r>
        <w:rPr>
          <w:rFonts w:ascii="Times New Roman" w:hAnsi="Times New Roman"/>
        </w:rPr>
        <w:t>2.2 § 22 AufenthG — Aufnahme aus dem Ausland</w:t>
      </w:r>
    </w:p>
    <w:p>
      <w:pPr>
        <w:jc w:val="left"/>
      </w:pPr>
      <w:r>
        <w:t>§ 22 Satz 1 AufenthG ermöglicht die Aufnahme von Ausländern aus dem Ausland durch das Auswärtige Amt aus dringenden humanitären Gründen. Dies erfordert eine Ermessensentscheidung des Auswärtigen Amts.</w:t>
      </w:r>
    </w:p>
    <w:p>
      <w:pPr>
        <w:jc w:val="left"/>
      </w:pPr>
      <w:r>
        <w:rPr>
          <w:b/>
        </w:rPr>
        <w:t>Antrag:</w:t>
      </w:r>
      <w:r>
        <w:t xml:space="preserve"> RAin Kollatz-Ahnen bereitet einen entsprechenden Antrag vor, da Mahnoors Situation im Iran durch die Verfolgung ihrer Eltern zunehmend gefährdet ist: Sie lebt allein in der Familienwohnung in Mashhad, wird von Sicherheitsbehörden beobachtet und kann ihr Studium aufgrund des Drucks kaum fortsetzen.</w:t>
      </w:r>
    </w:p>
    <w:p>
      <w:pPr>
        <w:pStyle w:val="Heading3"/>
      </w:pPr>
      <w:r>
        <w:rPr>
          <w:rFonts w:ascii="Times New Roman" w:hAnsi="Times New Roman"/>
        </w:rPr>
        <w:t>2.3 Eigenständiger Asylantrag für Mahnoor</w:t>
      </w:r>
    </w:p>
    <w:p>
      <w:pPr>
        <w:jc w:val="left"/>
      </w:pPr>
      <w:r>
        <w:t>Eine weitere Möglichkeit wäre, dass Mahnoor einen eigenständigen Asylantrag bei der Deutschen Botschaft (Botschaftsasyl nach § 26a AsylG ist aufgehoben) oder — sofern sie Deutschland auf anderem Wege erreicht — direkt beim BAMF stellt. Botschaftsasyl ist in Deutschland seit 1993 abgeschafft; eine Einreise über Drittstaaten wäre theoretisch möglich, birgt aber erhebliche Dublin-IV-Risiken.</w:t>
      </w:r>
    </w:p>
    <w:p/>
    <w:p>
      <w:pPr>
        <w:pStyle w:val="Heading2"/>
      </w:pPr>
      <w:r>
        <w:rPr>
          <w:rFonts w:ascii="Times New Roman" w:hAnsi="Times New Roman"/>
        </w:rPr>
        <w:t>3. Klagebegründung VG Berlin 38 K 88/26</w:t>
      </w:r>
    </w:p>
    <w:p>
      <w:pPr>
        <w:jc w:val="left"/>
      </w:pPr>
      <w:r>
        <w:t>Die Klage ist als Verpflichtungsklage auf Erteilung des Visums statthafte Klageart (§ 42 Abs. 1 Var. 2 VwGO). Das VG Berlin ist zuständig nach § 52 Nr. 2 VwGO i.V.m. § 2 Abs. 7 Nr. 1 AufenthG (Botschaftsentscheidung).</w:t>
      </w:r>
    </w:p>
    <w:p>
      <w:pPr>
        <w:jc w:val="left"/>
      </w:pPr>
      <w:r>
        <w:rPr>
          <w:b/>
        </w:rPr>
        <w:t>Klagegründe:</w:t>
      </w:r>
    </w:p>
    <w:p>
      <w:pPr>
        <w:pStyle w:val="ListNumber"/>
      </w:pPr>
      <w:r>
        <w:rPr>
          <w:b/>
        </w:rPr>
        <w:t>Verletzung von Art. 6 GG (Schutz der Familie):</w:t>
      </w:r>
      <w:r>
        <w:t xml:space="preserve"> Die Ablehnung des Visums trennt Mahnoor von ihrer Kernfamilie, obwohl die Trennung durch staatliche Verfolgung erzwungen wurde.</w:t>
      </w:r>
    </w:p>
    <w:p>
      <w:pPr>
        <w:pStyle w:val="ListNumber"/>
      </w:pPr>
      <w:r>
        <w:rPr>
          <w:b/>
        </w:rPr>
        <w:t>Ermessensfehler:</w:t>
      </w:r>
      <w:r>
        <w:t xml:space="preserve"> Die Botschaft hat § 22 AufenthG nicht in Erwägung gezogen und keinen Ermessensspielraum ausgeübt.</w:t>
      </w:r>
    </w:p>
    <w:p>
      <w:pPr>
        <w:pStyle w:val="ListNumber"/>
      </w:pPr>
      <w:r>
        <w:rPr>
          <w:b/>
        </w:rPr>
        <w:t>Verletzung von Art. 8 EMRK:</w:t>
      </w:r>
      <w:r>
        <w:t xml:space="preserve"> Die Trennung Mahnoors von ihren Eltern über einen unbestimmten Zeitraum verletzt das Recht auf Familienleben.</w:t>
      </w:r>
    </w:p>
    <w:p>
      <w:pPr>
        <w:pStyle w:val="ListNumber"/>
      </w:pPr>
      <w:r>
        <w:rPr>
          <w:b/>
        </w:rPr>
        <w:t>Antizipierter Schutzstatus:</w:t>
      </w:r>
      <w:r>
        <w:t xml:space="preserve"> Wenn die Eltern in Deutschland anerkannt werden (was wahrscheinlich ist, da die Klagegründe stark sind), hätte Mahnoor Anspruch auf Familiennachzug nach § 29 Abs. 2 AufenthG. Eine frühzeitige Visumserteilung würde die dann entstehende Pflicht antizipieren.</w:t>
      </w:r>
    </w:p>
    <w:p/>
    <w:p>
      <w:pPr>
        <w:pStyle w:val="Heading2"/>
      </w:pPr>
      <w:r>
        <w:rPr>
          <w:rFonts w:ascii="Times New Roman" w:hAnsi="Times New Roman"/>
        </w:rPr>
        <w:t>4. Situation Mahnoors im Iran</w:t>
      </w:r>
    </w:p>
    <w:p>
      <w:pPr>
        <w:jc w:val="left"/>
      </w:pPr>
      <w:r>
        <w:t>Mahnoor ist als volljährige Tochter eines flüchtigen Häretikers (Haftbefehl gegen Vater) selbst gefährdet. UNHCR (2024) belegt, dass Angehörige von gesuchten Apostaten systematischer Überwachung und Befragung ausgesetzt werden können. Zudem ist sie allein in der Familienwohnung, ohne nennenswerte soziale Unterstützung.</w:t>
      </w:r>
    </w:p>
    <w:p>
      <w:pPr>
        <w:jc w:val="left"/>
      </w:pPr>
      <w:r>
        <w:t>Aktuell berichtet sie von:</w:t>
      </w:r>
    </w:p>
    <w:p>
      <w:pPr>
        <w:pStyle w:val="ListBullet"/>
      </w:pPr>
      <w:r>
        <w:t>Monatlichen Besuchen durch IRGC-Beamte, die nach dem Verbleib der Familie fragen</w:t>
      </w:r>
    </w:p>
    <w:p>
      <w:pPr>
        <w:pStyle w:val="ListBullet"/>
      </w:pPr>
      <w:r>
        <w:t>Vorladung an die Universität Ferdowsi wegen „unentschuldigter Fehlzeiten" (die durch Behördentermine entstanden)</w:t>
      </w:r>
    </w:p>
    <w:p>
      <w:pPr>
        <w:pStyle w:val="ListBullet"/>
      </w:pPr>
      <w:r>
        <w:t>Eingeschränkter Kommunikation (kein Mobiltelefon mehr, nur noch öffentliche Computer)</w:t>
      </w:r>
    </w:p>
    <w:p>
      <w:pPr>
        <w:jc w:val="left"/>
      </w:pPr>
      <w:r>
        <w:t>Diese Umstände werden im Eilantrag VG Berlin berücksichtigt.</w:t>
      </w:r>
    </w:p>
    <w:p/>
    <w:p>
      <w:pPr>
        <w:pStyle w:val="Heading2"/>
      </w:pPr>
      <w:r>
        <w:rPr>
          <w:rFonts w:ascii="Times New Roman" w:hAnsi="Times New Roman"/>
        </w:rPr>
        <w:t>5. Verfahrensstand und nächste Schritte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Schritt</w:t>
            </w:r>
          </w:p>
        </w:tc>
      </w:tr>
      <w:tr>
        <w:tc>
          <w:tcPr>
            <w:tcW w:type="dxa" w:w="4536"/>
          </w:tcPr>
          <w:p>
            <w:r>
              <w:rPr>
                <w:rFonts w:ascii="Times New Roman" w:hAnsi="Times New Roman"/>
                <w:sz w:val="20"/>
              </w:rPr>
              <w:t>08.10.2025</w:t>
            </w:r>
          </w:p>
        </w:tc>
        <w:tc>
          <w:tcPr>
            <w:tcW w:type="dxa" w:w="4536"/>
          </w:tcPr>
          <w:p>
            <w:r>
              <w:rPr>
                <w:rFonts w:ascii="Times New Roman" w:hAnsi="Times New Roman"/>
                <w:sz w:val="20"/>
              </w:rPr>
              <w:t>Visumsantrag Deutsche Botschaft Teheran</w:t>
            </w:r>
          </w:p>
        </w:tc>
      </w:tr>
      <w:tr>
        <w:tc>
          <w:tcPr>
            <w:tcW w:type="dxa" w:w="4536"/>
          </w:tcPr>
          <w:p>
            <w:r>
              <w:rPr>
                <w:rFonts w:ascii="Times New Roman" w:hAnsi="Times New Roman"/>
                <w:sz w:val="20"/>
              </w:rPr>
              <w:t>07.01.2026</w:t>
            </w:r>
          </w:p>
        </w:tc>
        <w:tc>
          <w:tcPr>
            <w:tcW w:type="dxa" w:w="4536"/>
          </w:tcPr>
          <w:p>
            <w:r>
              <w:rPr>
                <w:rFonts w:ascii="Times New Roman" w:hAnsi="Times New Roman"/>
                <w:sz w:val="20"/>
              </w:rPr>
              <w:t>Ablehnungsbescheid Botschaft</w:t>
            </w:r>
          </w:p>
        </w:tc>
      </w:tr>
      <w:tr>
        <w:tc>
          <w:tcPr>
            <w:tcW w:type="dxa" w:w="4536"/>
          </w:tcPr>
          <w:p>
            <w:r>
              <w:rPr>
                <w:rFonts w:ascii="Times New Roman" w:hAnsi="Times New Roman"/>
                <w:sz w:val="20"/>
              </w:rPr>
              <w:t>06.03.2026</w:t>
            </w:r>
          </w:p>
        </w:tc>
        <w:tc>
          <w:tcPr>
            <w:tcW w:type="dxa" w:w="4536"/>
          </w:tcPr>
          <w:p>
            <w:r>
              <w:rPr>
                <w:rFonts w:ascii="Times New Roman" w:hAnsi="Times New Roman"/>
                <w:sz w:val="20"/>
              </w:rPr>
              <w:t>Klage VG Berlin 38 K 88/26 erhoben</w:t>
            </w:r>
          </w:p>
        </w:tc>
      </w:tr>
      <w:tr>
        <w:tc>
          <w:tcPr>
            <w:tcW w:type="dxa" w:w="4536"/>
          </w:tcPr>
          <w:p>
            <w:r>
              <w:rPr>
                <w:rFonts w:ascii="Times New Roman" w:hAnsi="Times New Roman"/>
                <w:sz w:val="20"/>
              </w:rPr>
              <w:t>15.04.2026</w:t>
            </w:r>
          </w:p>
        </w:tc>
        <w:tc>
          <w:tcPr>
            <w:tcW w:type="dxa" w:w="4536"/>
          </w:tcPr>
          <w:p>
            <w:r>
              <w:rPr>
                <w:rFonts w:ascii="Times New Roman" w:hAnsi="Times New Roman"/>
                <w:sz w:val="20"/>
              </w:rPr>
              <w:t>Begründung Klage eingereicht (durch Berliner Kooperationsanwalt RAin Dr. Selin Öztürk-Bauer)</w:t>
            </w:r>
          </w:p>
        </w:tc>
      </w:tr>
      <w:tr>
        <w:tc>
          <w:tcPr>
            <w:tcW w:type="dxa" w:w="4536"/>
          </w:tcPr>
          <w:p>
            <w:r>
              <w:rPr>
                <w:rFonts w:ascii="Times New Roman" w:hAnsi="Times New Roman"/>
                <w:sz w:val="20"/>
              </w:rPr>
              <w:t>Offen</w:t>
            </w:r>
          </w:p>
        </w:tc>
        <w:tc>
          <w:tcPr>
            <w:tcW w:type="dxa" w:w="4536"/>
          </w:tcPr>
          <w:p>
            <w:r>
              <w:rPr>
                <w:rFonts w:ascii="Times New Roman" w:hAnsi="Times New Roman"/>
                <w:sz w:val="20"/>
              </w:rPr>
              <w:t>Erwiderung durch AA / Botschaft</w:t>
            </w:r>
          </w:p>
        </w:tc>
      </w:tr>
      <w:tr>
        <w:tc>
          <w:tcPr>
            <w:tcW w:type="dxa" w:w="4536"/>
          </w:tcPr>
          <w:p>
            <w:r>
              <w:rPr>
                <w:rFonts w:ascii="Times New Roman" w:hAnsi="Times New Roman"/>
                <w:sz w:val="20"/>
              </w:rPr>
              <w:t>Offen</w:t>
            </w:r>
          </w:p>
        </w:tc>
        <w:tc>
          <w:tcPr>
            <w:tcW w:type="dxa" w:w="4536"/>
          </w:tcPr>
          <w:p>
            <w:r>
              <w:rPr>
                <w:rFonts w:ascii="Times New Roman" w:hAnsi="Times New Roman"/>
                <w:sz w:val="20"/>
              </w:rPr>
              <w:t>Ggf. Eilantrag auf Duldung im Iran / humanitäres Visum</w:t>
            </w:r>
          </w:p>
        </w:tc>
      </w:tr>
    </w:tbl>
    <w:p/>
    <w:p>
      <w:pPr>
        <w:jc w:val="left"/>
      </w:pPr>
      <w:r>
        <w:rPr>
          <w:b/>
        </w:rPr>
        <w:t>Erstellt:</w:t>
      </w:r>
      <w:r>
        <w:t xml:space="preserve"> 20.04.2026, RAin V. Kollatz-Ahnen</w:t>
      </w:r>
    </w:p>
    <w:p>
      <w:pPr>
        <w:jc w:val="left"/>
      </w:pPr>
      <w:r>
        <w:rPr>
          <w:b/>
        </w:rPr>
        <w:t>Quellen:</w:t>
      </w:r>
      <w:r>
        <w:t xml:space="preserve"> § 36 AufenthG; § 22 AufenthG; § 29 AufenthG; Art. 6 GG; Art. 8 EMRK; § 42 VwGO; § 52 VwGO; UNHCR-Leitlinien Iran 2024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