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Ärztliches Attest und Abschiebungsverbot § 60a Abs. 2c AufenthG</w:t>
      </w:r>
    </w:p>
    <w:p>
      <w:pPr>
        <w:jc w:val="left"/>
      </w:pPr>
      <w:r>
        <w:rPr>
          <w:b/>
        </w:rPr>
        <w:t>Aktenzeichen:</w:t>
      </w:r>
      <w:r>
        <w:t xml:space="preserve"> VG Hannover 4 A 4188/26 / Dublin-Eilverfahren</w:t>
      </w:r>
    </w:p>
    <w:p>
      <w:pPr>
        <w:jc w:val="left"/>
      </w:pPr>
      <w:r>
        <w:rPr>
          <w:b/>
        </w:rPr>
        <w:t>Attest ausgestellt:</w:t>
      </w:r>
      <w:r>
        <w:t xml:space="preserve"> 15.03.2026</w:t>
      </w:r>
    </w:p>
    <w:p>
      <w:pPr>
        <w:jc w:val="left"/>
      </w:pPr>
      <w:r>
        <w:rPr>
          <w:b/>
        </w:rPr>
        <w:t>Ausstellende Ärztin:</w:t>
      </w:r>
      <w:r>
        <w:t xml:space="preserve"> Prof. Dr. Ines Brauner-Scholl, MHH Hannover, Klinik für Pädiatrische Kardiologie</w:t>
      </w:r>
    </w:p>
    <w:p>
      <w:pPr>
        <w:jc w:val="left"/>
      </w:pPr>
      <w:r>
        <w:rPr>
          <w:b/>
        </w:rPr>
        <w:t>Stand:</w:t>
      </w:r>
      <w:r>
        <w:t xml:space="preserve"> 21.04.2026</w:t>
      </w:r>
    </w:p>
    <w:p/>
    <w:p>
      <w:pPr>
        <w:pStyle w:val="Heading2"/>
      </w:pPr>
      <w:r>
        <w:rPr>
          <w:rFonts w:ascii="Times New Roman" w:hAnsi="Times New Roman"/>
        </w:rPr>
        <w:t>1. Bedeutung des Attests im Verfahren</w:t>
      </w:r>
    </w:p>
    <w:p>
      <w:pPr>
        <w:jc w:val="left"/>
      </w:pPr>
      <w:r>
        <w:t>Das ärztliche Attest von Prof. Dr. Brauner-Scholl vom 15.03.2026 belegt die schwere kongenitale Herzerkrankung von Reza Amiri jr. und den dringenden Operationsbedarf. Es ist Grundlage für:</w:t>
      </w:r>
    </w:p>
    <w:p>
      <w:pPr>
        <w:pStyle w:val="ListNumber"/>
      </w:pPr>
      <w:r>
        <w:t>Den Antrag nach § 25 Abs. 5 AufenthG (→ Aktenstück 16)</w:t>
      </w:r>
    </w:p>
    <w:p>
      <w:pPr>
        <w:pStyle w:val="ListNumber"/>
      </w:pPr>
      <w:r>
        <w:t>Das Abschiebungsverbot nach § 60 Abs. 7 AufenthG im Asylverfahren</w:t>
      </w:r>
    </w:p>
    <w:p>
      <w:pPr>
        <w:pStyle w:val="ListNumber"/>
      </w:pPr>
      <w:r>
        <w:t>Den Eilantrag § 80 Abs. 5 VwGO (Dublin)</w:t>
      </w:r>
    </w:p>
    <w:p>
      <w:pPr>
        <w:pStyle w:val="ListNumber"/>
      </w:pPr>
      <w:r>
        <w:t>Die Begründung des Selbsteintrittsersuches an Deutschland (Art. 17 Dublin-III-VO)</w:t>
      </w:r>
    </w:p>
    <w:p/>
    <w:p>
      <w:pPr>
        <w:pStyle w:val="Heading2"/>
      </w:pPr>
      <w:r>
        <w:rPr>
          <w:rFonts w:ascii="Times New Roman" w:hAnsi="Times New Roman"/>
        </w:rPr>
        <w:t>2. Inhalt des Attests (Zusammenfassung — redacted für Aktenstück)</w:t>
      </w:r>
    </w:p>
    <w:p>
      <w:pPr>
        <w:jc w:val="left"/>
      </w:pPr>
      <w:r>
        <w:t>Das Original-Attest liegt als PDF in der Akte (</w:t>
      </w:r>
      <w:r>
        <w:t>pdfs/bamf_ablehnungsbescheid_redacted.pdf</w:t>
      </w:r>
      <w:r>
        <w:t>). Die wesentlichen Aussagen:</w:t>
      </w:r>
    </w:p>
    <w:p>
      <w:pPr>
        <w:ind w:left="567"/>
      </w:pPr>
      <w:r>
        <w:rPr>
          <w:i/>
        </w:rPr>
        <w:t>„Der Patient Reza A. jr. (geb. 14.10.2024) leidet an einem Ventrikelseptumdefekt (VSD) Typ II mit valvulärer Aortenstenose. Ohne operative Intervention ist mit einer progredienten kardialen Dekompensation innerhalb von 12 bis 18 Monaten und einem erhöhten Risiko des plötzlichen Herztods zu rechnen. Ein Operationstermin wurde für den 15.07.2026 an der Medizinischen Hochschule Hannover festgesetzt. Eine Unterbrechung der kardiologischen Betreuung sowie eine Verlegung in ein anderes Land ohne gleichwertige kinderkardiochirurgische Versorgung sind aus medizinischer Sicht als lebensbedrohlich einzustufen."</w:t>
      </w:r>
    </w:p>
    <w:p/>
    <w:p>
      <w:pPr>
        <w:pStyle w:val="Heading2"/>
      </w:pPr>
      <w:r>
        <w:rPr>
          <w:rFonts w:ascii="Times New Roman" w:hAnsi="Times New Roman"/>
        </w:rPr>
        <w:t>3. Rechtliche Einordnung — § 60 Abs. 7 AufenthG</w:t>
      </w:r>
    </w:p>
    <w:p>
      <w:pPr>
        <w:pStyle w:val="Heading3"/>
      </w:pPr>
      <w:r>
        <w:rPr>
          <w:rFonts w:ascii="Times New Roman" w:hAnsi="Times New Roman"/>
        </w:rPr>
        <w:t>3.1 Voraussetzungen</w:t>
      </w:r>
    </w:p>
    <w:p>
      <w:pPr>
        <w:jc w:val="left"/>
      </w:pPr>
      <w:r>
        <w:t>§ 60 Abs. 7 Satz 1 AufenthG schützt vor Abschiebung, wenn im Zielstaat eine erhebliche konkrete Gefahr für Leib, Leben oder Freiheit besteht. Diese Norm erfasst insbesondere schwere Erkrankungen, die im Zielstaat nicht adäquat behandelt werden können.</w:t>
      </w:r>
    </w:p>
    <w:p>
      <w:pPr>
        <w:jc w:val="left"/>
      </w:pPr>
      <w:r>
        <w:t>Das Bundesverwaltungsgericht hat in ständiger Rechtsprechung (BVerwG, Urt. v. 17.10.2006 — 1 C 18.05; BVerwG, Beschl. v. 24.05.2006 — 1 B 118.05) folgende Anforderungen formuliert:</w:t>
      </w:r>
    </w:p>
    <w:p>
      <w:pPr>
        <w:pStyle w:val="ListNumber"/>
      </w:pPr>
      <w:r>
        <w:t>Die Erkrankung muss lebensbedrohlich oder schwerwiegend sein.</w:t>
      </w:r>
    </w:p>
    <w:p>
      <w:pPr>
        <w:pStyle w:val="ListNumber"/>
      </w:pPr>
      <w:r>
        <w:t>Eine erhebliche Verschlechterung muss alsbald nach der Rückkehr drohen.</w:t>
      </w:r>
    </w:p>
    <w:p>
      <w:pPr>
        <w:pStyle w:val="ListNumber"/>
      </w:pPr>
      <w:r>
        <w:t>Im Herkunfts- oder Zielland muss keine adäquate Behandlung verfügbar oder zugänglich sein.</w:t>
      </w:r>
    </w:p>
    <w:p>
      <w:pPr>
        <w:jc w:val="left"/>
      </w:pPr>
      <w:r>
        <w:t>Alle drei Voraussetzungen sind erfüllt:</w:t>
      </w:r>
    </w:p>
    <w:p>
      <w:pPr>
        <w:pStyle w:val="ListBullet"/>
      </w:pPr>
      <w:r>
        <w:t>VSD Typ II und Aortenstenose sind schwerwiegende Herzfehler.</w:t>
      </w:r>
    </w:p>
    <w:p>
      <w:pPr>
        <w:pStyle w:val="ListBullet"/>
      </w:pPr>
      <w:r>
        <w:t>Ohne OP droht Verschlechterung binnen 12 bis 18 Monaten.</w:t>
      </w:r>
    </w:p>
    <w:p>
      <w:pPr>
        <w:pStyle w:val="ListBullet"/>
      </w:pPr>
      <w:r>
        <w:t>In Griechenland (dem Dublin-Zielstaat) ist kinderkardiochirurgische Versorgung dieses Niveaus nicht für Asylsuchende ohne Aufenthaltstitel zugänglich (UNHCR-Bericht 2024, Abschnitt medizinische Versorgung).</w:t>
      </w:r>
    </w:p>
    <w:p>
      <w:pPr>
        <w:pStyle w:val="Heading3"/>
      </w:pPr>
      <w:r>
        <w:rPr>
          <w:rFonts w:ascii="Times New Roman" w:hAnsi="Times New Roman"/>
        </w:rPr>
        <w:t>3.2 § 60 Abs. 7 Satz 2 und 3 AufenthG (Qualitätskriterien für Atteste)</w:t>
      </w:r>
    </w:p>
    <w:p>
      <w:pPr>
        <w:jc w:val="left"/>
      </w:pPr>
      <w:r>
        <w:t>§ 60 Abs. 2c AufenthG (in der Fassung seit 2015) verlangt, dass ärztliche Atteste bestimmte Mindestanforderungen erfüllen:</w:t>
      </w:r>
    </w:p>
    <w:p>
      <w:pPr>
        <w:pStyle w:val="ListBullet"/>
      </w:pPr>
      <w:r>
        <w:t>Klare Diagnose</w:t>
      </w:r>
    </w:p>
    <w:p>
      <w:pPr>
        <w:pStyle w:val="ListBullet"/>
      </w:pPr>
      <w:r>
        <w:t>Art und Schwere der Erkrankung</w:t>
      </w:r>
    </w:p>
    <w:p>
      <w:pPr>
        <w:pStyle w:val="ListBullet"/>
      </w:pPr>
      <w:r>
        <w:t>Auswirkungen der Erkrankung auf die Leistungsfähigkeit und Lebensführung</w:t>
      </w:r>
    </w:p>
    <w:p>
      <w:pPr>
        <w:pStyle w:val="ListBullet"/>
      </w:pPr>
      <w:r>
        <w:t>Erforderliche Behandlung</w:t>
      </w:r>
    </w:p>
    <w:p>
      <w:pPr>
        <w:pStyle w:val="ListBullet"/>
      </w:pPr>
      <w:r>
        <w:t>Folgen einer Unterbrechung der Behandlung</w:t>
      </w:r>
    </w:p>
    <w:p>
      <w:pPr>
        <w:jc w:val="left"/>
      </w:pPr>
      <w:r>
        <w:t>Das Attest von Prof. Dr. Brauner-Scholl erfüllt alle diese Anforderungen. Es ist von einer Fachärztin ausgestellt und enthält eine prognosegestützte Risikoeinschätzung.</w:t>
      </w:r>
    </w:p>
    <w:p/>
    <w:p>
      <w:pPr>
        <w:pStyle w:val="Heading2"/>
      </w:pPr>
      <w:r>
        <w:rPr>
          <w:rFonts w:ascii="Times New Roman" w:hAnsi="Times New Roman"/>
        </w:rPr>
        <w:t>4. Aufenthaltsverbot für Abschiebung während OP-Vorbereitung und Nachsorge</w:t>
      </w:r>
    </w:p>
    <w:p>
      <w:pPr>
        <w:jc w:val="left"/>
      </w:pPr>
      <w:r>
        <w:t>Für die Zeitspanne rund um die geplante Operation (voraussichtlich 15.07.2026, mit Vorbereitung ab ca. Mai 2026 und Nachsorge bis Januar 2027) ist eine Abschiebung aus folgenden Gründen rechtlich unmöglich:</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Zeitraum</w:t>
            </w:r>
          </w:p>
        </w:tc>
        <w:tc>
          <w:tcPr>
            <w:tcW w:type="dxa" w:w="4536"/>
          </w:tcPr>
          <w:p>
            <w:r>
              <w:rPr>
                <w:rFonts w:ascii="Times New Roman" w:hAnsi="Times New Roman"/>
                <w:b/>
                <w:sz w:val="20"/>
              </w:rPr>
              <w:t>Hinderungsgrund</w:t>
            </w:r>
          </w:p>
        </w:tc>
      </w:tr>
      <w:tr>
        <w:tc>
          <w:tcPr>
            <w:tcW w:type="dxa" w:w="4536"/>
          </w:tcPr>
          <w:p>
            <w:r>
              <w:rPr>
                <w:rFonts w:ascii="Times New Roman" w:hAnsi="Times New Roman"/>
                <w:sz w:val="20"/>
              </w:rPr>
              <w:t>Mai–Juli 2026</w:t>
            </w:r>
          </w:p>
        </w:tc>
        <w:tc>
          <w:tcPr>
            <w:tcW w:type="dxa" w:w="4536"/>
          </w:tcPr>
          <w:p>
            <w:r>
              <w:rPr>
                <w:rFonts w:ascii="Times New Roman" w:hAnsi="Times New Roman"/>
                <w:sz w:val="20"/>
              </w:rPr>
              <w:t>Präoperative Vorbereitung (Tests, Anästhesievorbesprechung, Herzkatheterlabor)</w:t>
            </w:r>
          </w:p>
        </w:tc>
      </w:tr>
      <w:tr>
        <w:tc>
          <w:tcPr>
            <w:tcW w:type="dxa" w:w="4536"/>
          </w:tcPr>
          <w:p>
            <w:r>
              <w:rPr>
                <w:rFonts w:ascii="Times New Roman" w:hAnsi="Times New Roman"/>
                <w:sz w:val="20"/>
              </w:rPr>
              <w:t>15.–29.07.2026</w:t>
            </w:r>
          </w:p>
        </w:tc>
        <w:tc>
          <w:tcPr>
            <w:tcW w:type="dxa" w:w="4536"/>
          </w:tcPr>
          <w:p>
            <w:r>
              <w:rPr>
                <w:rFonts w:ascii="Times New Roman" w:hAnsi="Times New Roman"/>
                <w:sz w:val="20"/>
              </w:rPr>
              <w:t>Stationäre Behandlung MHH</w:t>
            </w:r>
          </w:p>
        </w:tc>
      </w:tr>
      <w:tr>
        <w:tc>
          <w:tcPr>
            <w:tcW w:type="dxa" w:w="4536"/>
          </w:tcPr>
          <w:p>
            <w:r>
              <w:rPr>
                <w:rFonts w:ascii="Times New Roman" w:hAnsi="Times New Roman"/>
                <w:sz w:val="20"/>
              </w:rPr>
              <w:t>August–Oktober 2026</w:t>
            </w:r>
          </w:p>
        </w:tc>
        <w:tc>
          <w:tcPr>
            <w:tcW w:type="dxa" w:w="4536"/>
          </w:tcPr>
          <w:p>
            <w:r>
              <w:rPr>
                <w:rFonts w:ascii="Times New Roman" w:hAnsi="Times New Roman"/>
                <w:sz w:val="20"/>
              </w:rPr>
              <w:t>Engmaschige kardiologische Nachkontrolle (wöchentlich)</w:t>
            </w:r>
          </w:p>
        </w:tc>
      </w:tr>
      <w:tr>
        <w:tc>
          <w:tcPr>
            <w:tcW w:type="dxa" w:w="4536"/>
          </w:tcPr>
          <w:p>
            <w:r>
              <w:rPr>
                <w:rFonts w:ascii="Times New Roman" w:hAnsi="Times New Roman"/>
                <w:sz w:val="20"/>
              </w:rPr>
              <w:t>November 2026–Januar 2027</w:t>
            </w:r>
          </w:p>
        </w:tc>
        <w:tc>
          <w:tcPr>
            <w:tcW w:type="dxa" w:w="4536"/>
          </w:tcPr>
          <w:p>
            <w:r>
              <w:rPr>
                <w:rFonts w:ascii="Times New Roman" w:hAnsi="Times New Roman"/>
                <w:sz w:val="20"/>
              </w:rPr>
              <w:t>Monatliche Kontrollen; erst dann Reisefähigkeit beurteilbar</w:t>
            </w:r>
          </w:p>
        </w:tc>
      </w:tr>
    </w:tbl>
    <w:p>
      <w:pPr>
        <w:jc w:val="left"/>
      </w:pPr>
      <w:r>
        <w:t>Die Ausländerbehörde Region Hannover wurde mit Schreiben vom 14.04.2026 über diese Sachlage informiert und gebeten, jegliche Abschiebungsmaßnahmen bis mindestens Februar 2027 auszusetzen.</w:t>
      </w:r>
    </w:p>
    <w:p/>
    <w:p>
      <w:pPr>
        <w:pStyle w:val="Heading2"/>
      </w:pPr>
      <w:r>
        <w:rPr>
          <w:rFonts w:ascii="Times New Roman" w:hAnsi="Times New Roman"/>
        </w:rPr>
        <w:t>5. Konsequenzen für das Dublin-Verfahren</w:t>
      </w:r>
    </w:p>
    <w:p>
      <w:pPr>
        <w:jc w:val="left"/>
      </w:pPr>
      <w:r>
        <w:t>Das Abschiebungshindernis wegen der Herzerkrankung betrifft unmittelbar Reza jr. und — durch Art. 16 Dublin-III-VO — auch seine Mutter Shirin und die Geschwister: Eine Trennung der Mutter vom Säugling vor der OP ist mit Art. 8 EMRK unvereinbar. Wenn Reza jr. nicht übergestellt werden kann, kann die gesamte mütterliche Familieneinheit (Kläger zu 2–6) nicht nach Griechenland überstellt werden.</w:t>
      </w:r>
    </w:p>
    <w:p>
      <w:pPr>
        <w:jc w:val="left"/>
      </w:pPr>
      <w:r>
        <w:t>Für den Vater Reza Amiri gilt: Eine Überstellung nach Kroatien ohne die Familie wäre mit Art. 7 GRCh und Art. 8 EMRK unvereinbar.</w:t>
      </w:r>
    </w:p>
    <w:p/>
    <w:p>
      <w:pPr>
        <w:pStyle w:val="Heading2"/>
      </w:pPr>
      <w:r>
        <w:rPr>
          <w:rFonts w:ascii="Times New Roman" w:hAnsi="Times New Roman"/>
        </w:rPr>
        <w:t>6. PTBS-Attest (in Vorbereitung)</w:t>
      </w:r>
    </w:p>
    <w:p>
      <w:pPr>
        <w:jc w:val="left"/>
      </w:pPr>
      <w:r>
        <w:t>Für Reza Amiri (Vater) ist ein psychiatrisches Attest zur posttraumatischen Belastungsstörung in Vorbereitung. Dieses wird nach Abschluss der diagnostischen Phase (voraussichtlich Juni 2026) nachgereicht. PTBS kann ebenfalls ein Abschiebungsverbot nach § 60 Abs. 7 AufenthG begründen, wenn die Behandlung in Deutschland laufend und die Unterbrechung medizinisch nicht vertretbar wäre.</w:t>
      </w:r>
    </w:p>
    <w:p/>
    <w:p>
      <w:pPr>
        <w:jc w:val="left"/>
      </w:pPr>
      <w:r>
        <w:rPr>
          <w:b/>
        </w:rPr>
        <w:t>Erstellt:</w:t>
      </w:r>
      <w:r>
        <w:t xml:space="preserve"> 21.04.2026, RAin V. Kollatz-Ahnen</w:t>
      </w:r>
    </w:p>
    <w:p>
      <w:pPr>
        <w:jc w:val="left"/>
      </w:pPr>
      <w:r>
        <w:rPr>
          <w:b/>
        </w:rPr>
        <w:t>Quellen:</w:t>
      </w:r>
      <w:r>
        <w:t xml:space="preserve"> § 60 Abs. 7, 2c AufenthG; § 60a AufenthG; BVerwG, Urt. v. 17.10.2006 — 1 C 18.05; Art. 8 EMRK; Art. 16 Dublin-III-VO; UNHCR-Bericht Griechenland 2024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