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Gesamtstrategie und Verfahrensplanung</w:t>
      </w:r>
    </w:p>
    <w:p>
      <w:pPr>
        <w:jc w:val="left"/>
      </w:pPr>
      <w:r>
        <w:rPr>
          <w:b/>
        </w:rPr>
        <w:t>Aktenzeichen:</w:t>
      </w:r>
      <w:r>
        <w:t xml:space="preserve"> VG Hannover 4 A 4188/26; VG Berlin 38 K 88/26; AG Hannover 100 AR 22/26</w:t>
      </w:r>
    </w:p>
    <w:p>
      <w:pPr>
        <w:jc w:val="left"/>
      </w:pPr>
      <w:r>
        <w:rPr>
          <w:b/>
        </w:rPr>
        <w:t>Stand:</w:t>
      </w:r>
      <w:r>
        <w:t xml:space="preserve"> 22.04.2026</w:t>
      </w:r>
    </w:p>
    <w:p/>
    <w:p>
      <w:pPr>
        <w:pStyle w:val="Heading2"/>
      </w:pPr>
      <w:r>
        <w:rPr>
          <w:rFonts w:ascii="Times New Roman" w:hAnsi="Times New Roman"/>
        </w:rPr>
        <w:t>1. Verfahrenslandschaft im Überblick</w:t>
      </w:r>
    </w:p>
    <w:p>
      <w:pPr>
        <w:jc w:val="left"/>
      </w:pPr>
      <w:r>
        <w:t>Die Familie Amiri-Hosseini ist in sechs parallelen Verfahrenskomplexen involviert. Die strategische Herausforderung besteht darin, diese Verfahren so zu koordinieren, dass Entwicklungen im einen Verfahren die Chancen in anderen Verfahren verbessern und nicht gefährden.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Verfahren</w:t>
            </w:r>
          </w:p>
        </w:tc>
        <w:tc>
          <w:tcPr>
            <w:tcW w:type="dxa" w:w="2268"/>
          </w:tcPr>
          <w:p>
            <w:r>
              <w:rPr>
                <w:rFonts w:ascii="Times New Roman" w:hAnsi="Times New Roman"/>
                <w:b/>
                <w:sz w:val="20"/>
              </w:rPr>
              <w:t>Priorität</w:t>
            </w:r>
          </w:p>
        </w:tc>
        <w:tc>
          <w:tcPr>
            <w:tcW w:type="dxa" w:w="2268"/>
          </w:tcPr>
          <w:p>
            <w:r>
              <w:rPr>
                <w:rFonts w:ascii="Times New Roman" w:hAnsi="Times New Roman"/>
                <w:b/>
                <w:sz w:val="20"/>
              </w:rPr>
              <w:t>Zeitkritisch</w:t>
            </w:r>
          </w:p>
        </w:tc>
        <w:tc>
          <w:tcPr>
            <w:tcW w:type="dxa" w:w="2268"/>
          </w:tcPr>
          <w:p>
            <w:r>
              <w:rPr>
                <w:rFonts w:ascii="Times New Roman" w:hAnsi="Times New Roman"/>
                <w:b/>
                <w:sz w:val="20"/>
              </w:rPr>
              <w:t>Abhängigkeiten</w:t>
            </w:r>
          </w:p>
        </w:tc>
      </w:tr>
      <w:tr>
        <w:tc>
          <w:tcPr>
            <w:tcW w:type="dxa" w:w="2268"/>
          </w:tcPr>
          <w:p>
            <w:r>
              <w:rPr>
                <w:rFonts w:ascii="Times New Roman" w:hAnsi="Times New Roman"/>
                <w:sz w:val="20"/>
              </w:rPr>
              <w:t>Dublin-Eilantrag § 80 Abs. 5 VwGO</w:t>
            </w:r>
          </w:p>
        </w:tc>
        <w:tc>
          <w:tcPr>
            <w:tcW w:type="dxa" w:w="2268"/>
          </w:tcPr>
          <w:p>
            <w:r>
              <w:rPr>
                <w:rFonts w:ascii="Times New Roman" w:hAnsi="Times New Roman"/>
                <w:sz w:val="20"/>
              </w:rPr>
              <w:t>Sehr hoch</w:t>
            </w:r>
          </w:p>
        </w:tc>
        <w:tc>
          <w:tcPr>
            <w:tcW w:type="dxa" w:w="2268"/>
          </w:tcPr>
          <w:p>
            <w:r>
              <w:rPr>
                <w:rFonts w:ascii="Times New Roman" w:hAnsi="Times New Roman"/>
                <w:sz w:val="20"/>
              </w:rPr>
              <w:t>Ja (sofort)</w:t>
            </w:r>
          </w:p>
        </w:tc>
        <w:tc>
          <w:tcPr>
            <w:tcW w:type="dxa" w:w="2268"/>
          </w:tcPr>
          <w:p>
            <w:r>
              <w:rPr>
                <w:rFonts w:ascii="Times New Roman" w:hAnsi="Times New Roman"/>
                <w:sz w:val="20"/>
              </w:rPr>
              <w:t>Beeinflusst alle anderen</w:t>
            </w:r>
          </w:p>
        </w:tc>
      </w:tr>
      <w:tr>
        <w:tc>
          <w:tcPr>
            <w:tcW w:type="dxa" w:w="2268"/>
          </w:tcPr>
          <w:p>
            <w:r>
              <w:rPr>
                <w:rFonts w:ascii="Times New Roman" w:hAnsi="Times New Roman"/>
                <w:sz w:val="20"/>
              </w:rPr>
              <w:t>Asylklage VG Hannover 4 A 4188/26</w:t>
            </w:r>
          </w:p>
        </w:tc>
        <w:tc>
          <w:tcPr>
            <w:tcW w:type="dxa" w:w="2268"/>
          </w:tcPr>
          <w:p>
            <w:r>
              <w:rPr>
                <w:rFonts w:ascii="Times New Roman" w:hAnsi="Times New Roman"/>
                <w:sz w:val="20"/>
              </w:rPr>
              <w:t>Sehr hoch</w:t>
            </w:r>
          </w:p>
        </w:tc>
        <w:tc>
          <w:tcPr>
            <w:tcW w:type="dxa" w:w="2268"/>
          </w:tcPr>
          <w:p>
            <w:r>
              <w:rPr>
                <w:rFonts w:ascii="Times New Roman" w:hAnsi="Times New Roman"/>
                <w:sz w:val="20"/>
              </w:rPr>
              <w:t>Ja (Begründung 30.06.2026)</w:t>
            </w:r>
          </w:p>
        </w:tc>
        <w:tc>
          <w:tcPr>
            <w:tcW w:type="dxa" w:w="2268"/>
          </w:tcPr>
          <w:p>
            <w:r>
              <w:rPr>
                <w:rFonts w:ascii="Times New Roman" w:hAnsi="Times New Roman"/>
                <w:sz w:val="20"/>
              </w:rPr>
              <w:t>Wirkt auf Berlin, Mahnoor, Sozialrecht</w:t>
            </w:r>
          </w:p>
        </w:tc>
      </w:tr>
      <w:tr>
        <w:tc>
          <w:tcPr>
            <w:tcW w:type="dxa" w:w="2268"/>
          </w:tcPr>
          <w:p>
            <w:r>
              <w:rPr>
                <w:rFonts w:ascii="Times New Roman" w:hAnsi="Times New Roman"/>
                <w:sz w:val="20"/>
              </w:rPr>
              <w:t>Aufenthaltserlaubnis Reza jr. (§ 25 V AufenthG)</w:t>
            </w:r>
          </w:p>
        </w:tc>
        <w:tc>
          <w:tcPr>
            <w:tcW w:type="dxa" w:w="2268"/>
          </w:tcPr>
          <w:p>
            <w:r>
              <w:rPr>
                <w:rFonts w:ascii="Times New Roman" w:hAnsi="Times New Roman"/>
                <w:sz w:val="20"/>
              </w:rPr>
              <w:t>Hoch</w:t>
            </w:r>
          </w:p>
        </w:tc>
        <w:tc>
          <w:tcPr>
            <w:tcW w:type="dxa" w:w="2268"/>
          </w:tcPr>
          <w:p>
            <w:r>
              <w:rPr>
                <w:rFonts w:ascii="Times New Roman" w:hAnsi="Times New Roman"/>
                <w:sz w:val="20"/>
              </w:rPr>
              <w:t>Ja (OP 15.07.2026)</w:t>
            </w:r>
          </w:p>
        </w:tc>
        <w:tc>
          <w:tcPr>
            <w:tcW w:type="dxa" w:w="2268"/>
          </w:tcPr>
          <w:p>
            <w:r>
              <w:rPr>
                <w:rFonts w:ascii="Times New Roman" w:hAnsi="Times New Roman"/>
                <w:sz w:val="20"/>
              </w:rPr>
              <w:t>Dublin-Eilantrag</w:t>
            </w:r>
          </w:p>
        </w:tc>
      </w:tr>
      <w:tr>
        <w:tc>
          <w:tcPr>
            <w:tcW w:type="dxa" w:w="2268"/>
          </w:tcPr>
          <w:p>
            <w:r>
              <w:rPr>
                <w:rFonts w:ascii="Times New Roman" w:hAnsi="Times New Roman"/>
                <w:sz w:val="20"/>
              </w:rPr>
              <w:t>Strafverfahren Reza (StA Traunstein)</w:t>
            </w:r>
          </w:p>
        </w:tc>
        <w:tc>
          <w:tcPr>
            <w:tcW w:type="dxa" w:w="2268"/>
          </w:tcPr>
          <w:p>
            <w:r>
              <w:rPr>
                <w:rFonts w:ascii="Times New Roman" w:hAnsi="Times New Roman"/>
                <w:sz w:val="20"/>
              </w:rPr>
              <w:t>Mittel</w:t>
            </w:r>
          </w:p>
        </w:tc>
        <w:tc>
          <w:tcPr>
            <w:tcW w:type="dxa" w:w="2268"/>
          </w:tcPr>
          <w:p>
            <w:r>
              <w:rPr>
                <w:rFonts w:ascii="Times New Roman" w:hAnsi="Times New Roman"/>
                <w:sz w:val="20"/>
              </w:rPr>
              <w:t>Ja (HV 22.06.2026)</w:t>
            </w:r>
          </w:p>
        </w:tc>
        <w:tc>
          <w:tcPr>
            <w:tcW w:type="dxa" w:w="2268"/>
          </w:tcPr>
          <w:p>
            <w:r>
              <w:rPr>
                <w:rFonts w:ascii="Times New Roman" w:hAnsi="Times New Roman"/>
                <w:sz w:val="20"/>
              </w:rPr>
              <w:t>Asylklage (Glaubhaftigkeit)</w:t>
            </w:r>
          </w:p>
        </w:tc>
      </w:tr>
      <w:tr>
        <w:tc>
          <w:tcPr>
            <w:tcW w:type="dxa" w:w="2268"/>
          </w:tcPr>
          <w:p>
            <w:r>
              <w:rPr>
                <w:rFonts w:ascii="Times New Roman" w:hAnsi="Times New Roman"/>
                <w:sz w:val="20"/>
              </w:rPr>
              <w:t>Familiennachzug Mahnoor (VG Berlin 38 K 88/26)</w:t>
            </w:r>
          </w:p>
        </w:tc>
        <w:tc>
          <w:tcPr>
            <w:tcW w:type="dxa" w:w="2268"/>
          </w:tcPr>
          <w:p>
            <w:r>
              <w:rPr>
                <w:rFonts w:ascii="Times New Roman" w:hAnsi="Times New Roman"/>
                <w:sz w:val="20"/>
              </w:rPr>
              <w:t>Mittel</w:t>
            </w:r>
          </w:p>
        </w:tc>
        <w:tc>
          <w:tcPr>
            <w:tcW w:type="dxa" w:w="2268"/>
          </w:tcPr>
          <w:p>
            <w:r>
              <w:rPr>
                <w:rFonts w:ascii="Times New Roman" w:hAnsi="Times New Roman"/>
                <w:sz w:val="20"/>
              </w:rPr>
              <w:t>Nein</w:t>
            </w:r>
          </w:p>
        </w:tc>
        <w:tc>
          <w:tcPr>
            <w:tcW w:type="dxa" w:w="2268"/>
          </w:tcPr>
          <w:p>
            <w:r>
              <w:rPr>
                <w:rFonts w:ascii="Times New Roman" w:hAnsi="Times New Roman"/>
                <w:sz w:val="20"/>
              </w:rPr>
              <w:t>Asylklage Hannover</w:t>
            </w:r>
          </w:p>
        </w:tc>
      </w:tr>
      <w:tr>
        <w:tc>
          <w:tcPr>
            <w:tcW w:type="dxa" w:w="2268"/>
          </w:tcPr>
          <w:p>
            <w:r>
              <w:rPr>
                <w:rFonts w:ascii="Times New Roman" w:hAnsi="Times New Roman"/>
                <w:sz w:val="20"/>
              </w:rPr>
              <w:t>AsylbLG-Kürzung / Sozialrecht</w:t>
            </w:r>
          </w:p>
        </w:tc>
        <w:tc>
          <w:tcPr>
            <w:tcW w:type="dxa" w:w="2268"/>
          </w:tcPr>
          <w:p>
            <w:r>
              <w:rPr>
                <w:rFonts w:ascii="Times New Roman" w:hAnsi="Times New Roman"/>
                <w:sz w:val="20"/>
              </w:rPr>
              <w:t>Mittel</w:t>
            </w:r>
          </w:p>
        </w:tc>
        <w:tc>
          <w:tcPr>
            <w:tcW w:type="dxa" w:w="2268"/>
          </w:tcPr>
          <w:p>
            <w:r>
              <w:rPr>
                <w:rFonts w:ascii="Times New Roman" w:hAnsi="Times New Roman"/>
                <w:sz w:val="20"/>
              </w:rPr>
              <w:t>Nein</w:t>
            </w:r>
          </w:p>
        </w:tc>
        <w:tc>
          <w:tcPr>
            <w:tcW w:type="dxa" w:w="2268"/>
          </w:tcPr>
          <w:p>
            <w:r>
              <w:rPr>
                <w:rFonts w:ascii="Times New Roman" w:hAnsi="Times New Roman"/>
                <w:sz w:val="20"/>
              </w:rPr>
              <w:t>Beratungshilfe</w:t>
            </w:r>
          </w:p>
        </w:tc>
      </w:tr>
    </w:tbl>
    <w:p/>
    <w:p>
      <w:pPr>
        <w:pStyle w:val="Heading2"/>
      </w:pPr>
      <w:r>
        <w:rPr>
          <w:rFonts w:ascii="Times New Roman" w:hAnsi="Times New Roman"/>
        </w:rPr>
        <w:t>2. Eilrechtsschutz als unmittelbare Priorität</w:t>
      </w:r>
    </w:p>
    <w:p>
      <w:pPr>
        <w:pStyle w:val="Heading3"/>
      </w:pPr>
      <w:r>
        <w:rPr>
          <w:rFonts w:ascii="Times New Roman" w:hAnsi="Times New Roman"/>
        </w:rPr>
        <w:t>Nächste 14 Tage (bis 06.05.2026):</w:t>
      </w:r>
    </w:p>
    <w:p>
      <w:pPr>
        <w:pStyle w:val="ListNumber"/>
      </w:pPr>
      <w:r>
        <w:rPr>
          <w:b/>
        </w:rPr>
        <w:t>Dublin-Eilantrag</w:t>
      </w:r>
      <w:r>
        <w:t xml:space="preserve"> (§ 80 Abs. 5 VwGO): Beim VG Hannover einreichen; auf Antrag des Caritas-Schreibens aufbauen und vollständig begründen. Herzattest beifügen.</w:t>
      </w:r>
    </w:p>
    <w:p>
      <w:pPr>
        <w:pStyle w:val="ListNumber"/>
      </w:pPr>
      <w:r>
        <w:rPr>
          <w:b/>
        </w:rPr>
        <w:t>Antrag Selbsteintritt</w:t>
      </w:r>
      <w:r>
        <w:t xml:space="preserve"> (Art. 17 Dublin-III-VO): Formal beim BAMF stellen — falls abgelehnt, als Beschwerdepunkt in Eilantrag integrieren.</w:t>
      </w:r>
    </w:p>
    <w:p>
      <w:pPr>
        <w:pStyle w:val="ListNumber"/>
      </w:pPr>
      <w:r>
        <w:rPr>
          <w:b/>
        </w:rPr>
        <w:t>Antrag Duldungsverlängerung</w:t>
      </w:r>
      <w:r>
        <w:t xml:space="preserve"> für Reza jr.: Ausländerbehörde Hannover (Widerspruch läuft; ggf. Eilantrag VG Hannover).</w:t>
      </w:r>
    </w:p>
    <w:p>
      <w:pPr>
        <w:pStyle w:val="ListNumber"/>
      </w:pPr>
      <w:r>
        <w:rPr>
          <w:b/>
        </w:rPr>
        <w:t>Koordination RA Wollberg</w:t>
      </w:r>
      <w:r>
        <w:t xml:space="preserve"> (Strafverfahren): Termin vor HV 22.06.2026 abstimmen; asylrechtliche Kontext-Infos übermitteln.</w:t>
      </w:r>
    </w:p>
    <w:p/>
    <w:p>
      <w:pPr>
        <w:pStyle w:val="Heading2"/>
      </w:pPr>
      <w:r>
        <w:rPr>
          <w:rFonts w:ascii="Times New Roman" w:hAnsi="Times New Roman"/>
        </w:rPr>
        <w:t>3. Mittelfristige Strategie (bis Ende 2026)</w:t>
      </w:r>
    </w:p>
    <w:p>
      <w:pPr>
        <w:pStyle w:val="Heading3"/>
      </w:pPr>
      <w:r>
        <w:rPr>
          <w:rFonts w:ascii="Times New Roman" w:hAnsi="Times New Roman"/>
        </w:rPr>
        <w:t>3.1 Asylklage VG Hannover</w:t>
      </w:r>
    </w:p>
    <w:p>
      <w:pPr>
        <w:jc w:val="left"/>
      </w:pPr>
      <w:r>
        <w:t>Die Klagebegründung bis 30.06.2026 muss folgende Elemente enthalten:</w:t>
      </w:r>
    </w:p>
    <w:p>
      <w:pPr>
        <w:pStyle w:val="ListBullet"/>
      </w:pPr>
      <w:r>
        <w:t>Vollständiger Sachverhalt (Konversion, Haftbefehl, Verfolgung)</w:t>
      </w:r>
    </w:p>
    <w:p>
      <w:pPr>
        <w:pStyle w:val="ListBullet"/>
      </w:pPr>
      <w:r>
        <w:t>Schreiben Pastor Rezaei als Anlage</w:t>
      </w:r>
    </w:p>
    <w:p>
      <w:pPr>
        <w:pStyle w:val="ListBullet"/>
      </w:pPr>
      <w:r>
        <w:t>Mahnoors Bericht über IRGC-Besuche</w:t>
      </w:r>
    </w:p>
    <w:p>
      <w:pPr>
        <w:pStyle w:val="ListBullet"/>
      </w:pPr>
      <w:r>
        <w:t>UNHCR-Leitlinien, BAMF-Länderinformation</w:t>
      </w:r>
    </w:p>
    <w:p>
      <w:pPr>
        <w:pStyle w:val="ListBullet"/>
      </w:pPr>
      <w:r>
        <w:t>Antrag auf Sachverständigengutachten (Religionswissenschaft, Länderinformation)</w:t>
      </w:r>
    </w:p>
    <w:p>
      <w:pPr>
        <w:pStyle w:val="ListBullet"/>
      </w:pPr>
      <w:r>
        <w:t>Attest Reza jr. als Anlage zu § 60 Abs. 7 AufenthG</w:t>
      </w:r>
    </w:p>
    <w:p>
      <w:pPr>
        <w:pStyle w:val="ListBullet"/>
      </w:pPr>
      <w:r>
        <w:t>PKH-Antrag</w:t>
      </w:r>
    </w:p>
    <w:p>
      <w:pPr>
        <w:jc w:val="left"/>
      </w:pPr>
      <w:r>
        <w:rPr>
          <w:b/>
        </w:rPr>
        <w:t>Erfolgseinschätzung:</w:t>
      </w:r>
      <w:r>
        <w:t xml:space="preserve"> Ca. 70–75% Wahrscheinlichkeit für zumindest subsidiären Schutz; ca. 50–60% für vollständigen Flüchtlingsschutz nach § 3 AsylG. Hauptrisiko: Glaubhaftigkeitsfrage bleibt trotz Klagebegründung strittig.</w:t>
      </w:r>
    </w:p>
    <w:p>
      <w:pPr>
        <w:pStyle w:val="Heading3"/>
      </w:pPr>
      <w:r>
        <w:rPr>
          <w:rFonts w:ascii="Times New Roman" w:hAnsi="Times New Roman"/>
        </w:rPr>
        <w:t>3.2 Familiennachzug Mahnoor</w:t>
      </w:r>
    </w:p>
    <w:p>
      <w:pPr>
        <w:jc w:val="left"/>
      </w:pPr>
      <w:r>
        <w:t>Abhängig vom Ausgang VG Hannover. Parallel läuft OVG Berlin-Brandenburg (Beschwerde 12 S 22/26 gegen abgelehnten Eilantrag). Falls Eltern Schutzstatus erhalten, entsteht Familiennachzugsrecht automatisch — dann Visumserteilung beantragen.</w:t>
      </w:r>
    </w:p>
    <w:p>
      <w:pPr>
        <w:pStyle w:val="Heading3"/>
      </w:pPr>
      <w:r>
        <w:rPr>
          <w:rFonts w:ascii="Times New Roman" w:hAnsi="Times New Roman"/>
        </w:rPr>
        <w:t>3.3 AsylbLG-Kürzung</w:t>
      </w:r>
    </w:p>
    <w:p>
      <w:pPr>
        <w:jc w:val="left"/>
      </w:pPr>
      <w:r>
        <w:t>Klage vor Sozialgericht Hannover einreichen; PKH beantragen. Nebenbei: Beratungshilfe nutzen für alle sozialrechtlichen Einzelfragen (Schulbegleitung, medizinische Beschaffungen).</w:t>
      </w:r>
    </w:p>
    <w:p/>
    <w:p>
      <w:pPr>
        <w:pStyle w:val="Heading2"/>
      </w:pPr>
      <w:r>
        <w:rPr>
          <w:rFonts w:ascii="Times New Roman" w:hAnsi="Times New Roman"/>
        </w:rPr>
        <w:t>4. Wechselwirkungen und Risikomanagement</w:t>
      </w:r>
    </w:p>
    <w:p>
      <w:pPr>
        <w:pStyle w:val="Heading3"/>
      </w:pPr>
      <w:r>
        <w:rPr>
          <w:rFonts w:ascii="Times New Roman" w:hAnsi="Times New Roman"/>
        </w:rPr>
        <w:t>4.1 Positive Wechselwirkungen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Entwicklung</w:t>
            </w:r>
          </w:p>
        </w:tc>
        <w:tc>
          <w:tcPr>
            <w:tcW w:type="dxa" w:w="4536"/>
          </w:tcPr>
          <w:p>
            <w:r>
              <w:rPr>
                <w:rFonts w:ascii="Times New Roman" w:hAnsi="Times New Roman"/>
                <w:b/>
                <w:sz w:val="20"/>
              </w:rPr>
              <w:t>Positiver Effekt auf</w:t>
            </w:r>
          </w:p>
        </w:tc>
      </w:tr>
      <w:tr>
        <w:tc>
          <w:tcPr>
            <w:tcW w:type="dxa" w:w="4536"/>
          </w:tcPr>
          <w:p>
            <w:r>
              <w:rPr>
                <w:rFonts w:ascii="Times New Roman" w:hAnsi="Times New Roman"/>
                <w:sz w:val="20"/>
              </w:rPr>
              <w:t>Dublin-Eilantrag erfolgreich</w:t>
            </w:r>
          </w:p>
        </w:tc>
        <w:tc>
          <w:tcPr>
            <w:tcW w:type="dxa" w:w="4536"/>
          </w:tcPr>
          <w:p>
            <w:r>
              <w:rPr>
                <w:rFonts w:ascii="Times New Roman" w:hAnsi="Times New Roman"/>
                <w:sz w:val="20"/>
              </w:rPr>
              <w:t>Kein Überstellungsdruck; mehr Zeit für Asylklage</w:t>
            </w:r>
          </w:p>
        </w:tc>
      </w:tr>
      <w:tr>
        <w:tc>
          <w:tcPr>
            <w:tcW w:type="dxa" w:w="4536"/>
          </w:tcPr>
          <w:p>
            <w:r>
              <w:rPr>
                <w:rFonts w:ascii="Times New Roman" w:hAnsi="Times New Roman"/>
                <w:sz w:val="20"/>
              </w:rPr>
              <w:t>Asylklage erfolgreich</w:t>
            </w:r>
          </w:p>
        </w:tc>
        <w:tc>
          <w:tcPr>
            <w:tcW w:type="dxa" w:w="4536"/>
          </w:tcPr>
          <w:p>
            <w:r>
              <w:rPr>
                <w:rFonts w:ascii="Times New Roman" w:hAnsi="Times New Roman"/>
                <w:sz w:val="20"/>
              </w:rPr>
              <w:t>Familiennachzug Mahnoor möglich; Strafverfahren entkräftet</w:t>
            </w:r>
          </w:p>
        </w:tc>
      </w:tr>
      <w:tr>
        <w:tc>
          <w:tcPr>
            <w:tcW w:type="dxa" w:w="4536"/>
          </w:tcPr>
          <w:p>
            <w:r>
              <w:rPr>
                <w:rFonts w:ascii="Times New Roman" w:hAnsi="Times New Roman"/>
                <w:sz w:val="20"/>
              </w:rPr>
              <w:t>Aufenthaltserlaubnis Reza jr.</w:t>
            </w:r>
          </w:p>
        </w:tc>
        <w:tc>
          <w:tcPr>
            <w:tcW w:type="dxa" w:w="4536"/>
          </w:tcPr>
          <w:p>
            <w:r>
              <w:rPr>
                <w:rFonts w:ascii="Times New Roman" w:hAnsi="Times New Roman"/>
                <w:sz w:val="20"/>
              </w:rPr>
              <w:t>Stärkt Familieneinheitsargument; verzögert Dublin</w:t>
            </w:r>
          </w:p>
        </w:tc>
      </w:tr>
      <w:tr>
        <w:tc>
          <w:tcPr>
            <w:tcW w:type="dxa" w:w="4536"/>
          </w:tcPr>
          <w:p>
            <w:r>
              <w:rPr>
                <w:rFonts w:ascii="Times New Roman" w:hAnsi="Times New Roman"/>
                <w:sz w:val="20"/>
              </w:rPr>
              <w:t>PTBS-Attest Reza</w:t>
            </w:r>
          </w:p>
        </w:tc>
        <w:tc>
          <w:tcPr>
            <w:tcW w:type="dxa" w:w="4536"/>
          </w:tcPr>
          <w:p>
            <w:r>
              <w:rPr>
                <w:rFonts w:ascii="Times New Roman" w:hAnsi="Times New Roman"/>
                <w:sz w:val="20"/>
              </w:rPr>
              <w:t>Stärkt Glaubhaftigkeitsargumentation; Strafverfahrensmilderung</w:t>
            </w:r>
          </w:p>
        </w:tc>
      </w:tr>
    </w:tbl>
    <w:p>
      <w:pPr>
        <w:pStyle w:val="Heading3"/>
      </w:pPr>
      <w:r>
        <w:rPr>
          <w:rFonts w:ascii="Times New Roman" w:hAnsi="Times New Roman"/>
        </w:rPr>
        <w:t>4.2 Negative Wechselwirkungen (Risiken)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Risiko</w:t>
            </w:r>
          </w:p>
        </w:tc>
        <w:tc>
          <w:tcPr>
            <w:tcW w:type="dxa" w:w="4536"/>
          </w:tcPr>
          <w:p>
            <w:r>
              <w:rPr>
                <w:rFonts w:ascii="Times New Roman" w:hAnsi="Times New Roman"/>
                <w:b/>
                <w:sz w:val="20"/>
              </w:rPr>
              <w:t>Gegenmaßnahme</w:t>
            </w:r>
          </w:p>
        </w:tc>
      </w:tr>
      <w:tr>
        <w:tc>
          <w:tcPr>
            <w:tcW w:type="dxa" w:w="4536"/>
          </w:tcPr>
          <w:p>
            <w:r>
              <w:rPr>
                <w:rFonts w:ascii="Times New Roman" w:hAnsi="Times New Roman"/>
                <w:sz w:val="20"/>
              </w:rPr>
              <w:t>Verurteilung Reza im Strafverfahren zu Haftstrafe</w:t>
            </w:r>
          </w:p>
        </w:tc>
        <w:tc>
          <w:tcPr>
            <w:tcW w:type="dxa" w:w="4536"/>
          </w:tcPr>
          <w:p>
            <w:r>
              <w:rPr>
                <w:rFonts w:ascii="Times New Roman" w:hAnsi="Times New Roman"/>
                <w:sz w:val="20"/>
              </w:rPr>
              <w:t>Sofortige asylrechtliche Einschätzung ob § 3 Abs. 2 AsylG greift; RA Wollberg koordinieren</w:t>
            </w:r>
          </w:p>
        </w:tc>
      </w:tr>
      <w:tr>
        <w:tc>
          <w:tcPr>
            <w:tcW w:type="dxa" w:w="4536"/>
          </w:tcPr>
          <w:p>
            <w:r>
              <w:rPr>
                <w:rFonts w:ascii="Times New Roman" w:hAnsi="Times New Roman"/>
                <w:sz w:val="20"/>
              </w:rPr>
              <w:t>Mahnoor verlässt Iran und stellt Asylantrag in Drittland</w:t>
            </w:r>
          </w:p>
        </w:tc>
        <w:tc>
          <w:tcPr>
            <w:tcW w:type="dxa" w:w="4536"/>
          </w:tcPr>
          <w:p>
            <w:r>
              <w:rPr>
                <w:rFonts w:ascii="Times New Roman" w:hAnsi="Times New Roman"/>
                <w:sz w:val="20"/>
              </w:rPr>
              <w:t>Dublin-Risiko für Mahnoor; VG Berlin verliert Grundlage; Abwägen</w:t>
            </w:r>
          </w:p>
        </w:tc>
      </w:tr>
      <w:tr>
        <w:tc>
          <w:tcPr>
            <w:tcW w:type="dxa" w:w="4536"/>
          </w:tcPr>
          <w:p>
            <w:r>
              <w:rPr>
                <w:rFonts w:ascii="Times New Roman" w:hAnsi="Times New Roman"/>
                <w:sz w:val="20"/>
              </w:rPr>
              <w:t>BAMF erlässt neue Überstellungsverfügung nach Ablauf</w:t>
            </w:r>
          </w:p>
        </w:tc>
        <w:tc>
          <w:tcPr>
            <w:tcW w:type="dxa" w:w="4536"/>
          </w:tcPr>
          <w:p>
            <w:r>
              <w:rPr>
                <w:rFonts w:ascii="Times New Roman" w:hAnsi="Times New Roman"/>
                <w:sz w:val="20"/>
              </w:rPr>
              <w:t>Neuer Eilantrag sofort</w:t>
            </w:r>
          </w:p>
        </w:tc>
      </w:tr>
      <w:tr>
        <w:tc>
          <w:tcPr>
            <w:tcW w:type="dxa" w:w="4536"/>
          </w:tcPr>
          <w:p>
            <w:r>
              <w:rPr>
                <w:rFonts w:ascii="Times New Roman" w:hAnsi="Times New Roman"/>
                <w:sz w:val="20"/>
              </w:rPr>
              <w:t>MHH OP-Termin verzögert sich</w:t>
            </w:r>
          </w:p>
        </w:tc>
        <w:tc>
          <w:tcPr>
            <w:tcW w:type="dxa" w:w="4536"/>
          </w:tcPr>
          <w:p>
            <w:r>
              <w:rPr>
                <w:rFonts w:ascii="Times New Roman" w:hAnsi="Times New Roman"/>
                <w:sz w:val="20"/>
              </w:rPr>
              <w:t>Verlängerung Duldung Reza jr. beantragen</w:t>
            </w:r>
          </w:p>
        </w:tc>
      </w:tr>
      <w:tr>
        <w:tc>
          <w:tcPr>
            <w:tcW w:type="dxa" w:w="4536"/>
          </w:tcPr>
          <w:p>
            <w:r>
              <w:rPr>
                <w:rFonts w:ascii="Times New Roman" w:hAnsi="Times New Roman"/>
                <w:sz w:val="20"/>
              </w:rPr>
              <w:t>Caritas-Beratungsstelle verliert Förderung</w:t>
            </w:r>
          </w:p>
        </w:tc>
        <w:tc>
          <w:tcPr>
            <w:tcW w:type="dxa" w:w="4536"/>
          </w:tcPr>
          <w:p>
            <w:r>
              <w:rPr>
                <w:rFonts w:ascii="Times New Roman" w:hAnsi="Times New Roman"/>
                <w:sz w:val="20"/>
              </w:rPr>
              <w:t>Alternative Beratungsstellen vorhalten</w:t>
            </w:r>
          </w:p>
        </w:tc>
      </w:tr>
    </w:tbl>
    <w:p/>
    <w:p>
      <w:pPr>
        <w:pStyle w:val="Heading2"/>
      </w:pPr>
      <w:r>
        <w:rPr>
          <w:rFonts w:ascii="Times New Roman" w:hAnsi="Times New Roman"/>
        </w:rPr>
        <w:t>5. Mandantenkommunikation</w:t>
      </w:r>
    </w:p>
    <w:p>
      <w:pPr>
        <w:pStyle w:val="Heading3"/>
      </w:pPr>
      <w:r>
        <w:rPr>
          <w:rFonts w:ascii="Times New Roman" w:hAnsi="Times New Roman"/>
        </w:rPr>
        <w:t>5.1 Information der Familie</w:t>
      </w:r>
    </w:p>
    <w:p>
      <w:pPr>
        <w:jc w:val="left"/>
      </w:pPr>
      <w:r>
        <w:t>Die Familie wird monatlich über den Verfahrensstand informiert (schriftlich auf Deutsch, Farsi-Zusammenfassung via Caritas-Dolmetscherin). Wichtig: keine Erweckung falscher Sicherheit; realistische Einschätzungen.</w:t>
      </w:r>
    </w:p>
    <w:p>
      <w:pPr>
        <w:pStyle w:val="Heading3"/>
      </w:pPr>
      <w:r>
        <w:rPr>
          <w:rFonts w:ascii="Times New Roman" w:hAnsi="Times New Roman"/>
        </w:rPr>
        <w:t>5.2 Besonderheiten</w:t>
      </w:r>
    </w:p>
    <w:p>
      <w:pPr>
        <w:pStyle w:val="ListBullet"/>
      </w:pPr>
      <w:r>
        <w:t>Reza darf während des laufenden Strafverfahrens keine Aussagen zum Strafkomplex ohne Rücksprache mit RA Wollberg machen.</w:t>
      </w:r>
    </w:p>
    <w:p>
      <w:pPr>
        <w:pStyle w:val="ListBullet"/>
      </w:pPr>
      <w:r>
        <w:t>Shirin und die Kinder sind weisungsberechtigt gegenüber der Caritas; Anweisungen von RAin Kollatz-Ahnen gehen vor.</w:t>
      </w:r>
    </w:p>
    <w:p>
      <w:pPr>
        <w:pStyle w:val="ListBullet"/>
      </w:pPr>
      <w:r>
        <w:t>Darius (14) hat Fragen gestellt, ob er in Deutschland bleiben kann; die Wahrheit ist angemessen zu kommunizieren: Die Lage ist schwierig, aber die Anwältin kämpft für die Familie.</w:t>
      </w:r>
    </w:p>
    <w:p/>
    <w:p>
      <w:pPr>
        <w:pStyle w:val="Heading2"/>
      </w:pPr>
      <w:r>
        <w:rPr>
          <w:rFonts w:ascii="Times New Roman" w:hAnsi="Times New Roman"/>
        </w:rPr>
        <w:t>6. Zusammenfassende Zeitachse 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Monat</w:t>
            </w:r>
          </w:p>
        </w:tc>
        <w:tc>
          <w:tcPr>
            <w:tcW w:type="dxa" w:w="4536"/>
          </w:tcPr>
          <w:p>
            <w:r>
              <w:rPr>
                <w:rFonts w:ascii="Times New Roman" w:hAnsi="Times New Roman"/>
                <w:b/>
                <w:sz w:val="20"/>
              </w:rPr>
              <w:t>Schlüsselereignis</w:t>
            </w:r>
          </w:p>
        </w:tc>
      </w:tr>
      <w:tr>
        <w:tc>
          <w:tcPr>
            <w:tcW w:type="dxa" w:w="4536"/>
          </w:tcPr>
          <w:p>
            <w:r>
              <w:rPr>
                <w:rFonts w:ascii="Times New Roman" w:hAnsi="Times New Roman"/>
                <w:sz w:val="20"/>
              </w:rPr>
              <w:t>April 2026</w:t>
            </w:r>
          </w:p>
        </w:tc>
        <w:tc>
          <w:tcPr>
            <w:tcW w:type="dxa" w:w="4536"/>
          </w:tcPr>
          <w:p>
            <w:r>
              <w:rPr>
                <w:rFonts w:ascii="Times New Roman" w:hAnsi="Times New Roman"/>
                <w:sz w:val="20"/>
              </w:rPr>
              <w:t>Dublin-Eilantrag; Mandatsaufnahme; Duldung Reza jr.</w:t>
            </w:r>
          </w:p>
        </w:tc>
      </w:tr>
      <w:tr>
        <w:tc>
          <w:tcPr>
            <w:tcW w:type="dxa" w:w="4536"/>
          </w:tcPr>
          <w:p>
            <w:r>
              <w:rPr>
                <w:rFonts w:ascii="Times New Roman" w:hAnsi="Times New Roman"/>
                <w:sz w:val="20"/>
              </w:rPr>
              <w:t>Mai 2026</w:t>
            </w:r>
          </w:p>
        </w:tc>
        <w:tc>
          <w:tcPr>
            <w:tcW w:type="dxa" w:w="4536"/>
          </w:tcPr>
          <w:p>
            <w:r>
              <w:rPr>
                <w:rFonts w:ascii="Times New Roman" w:hAnsi="Times New Roman"/>
                <w:sz w:val="20"/>
              </w:rPr>
              <w:t>Widerspruch AsylbLG; Abstimmung Strafverfahren</w:t>
            </w:r>
          </w:p>
        </w:tc>
      </w:tr>
      <w:tr>
        <w:tc>
          <w:tcPr>
            <w:tcW w:type="dxa" w:w="4536"/>
          </w:tcPr>
          <w:p>
            <w:r>
              <w:rPr>
                <w:rFonts w:ascii="Times New Roman" w:hAnsi="Times New Roman"/>
                <w:sz w:val="20"/>
              </w:rPr>
              <w:t>Juni 2026</w:t>
            </w:r>
          </w:p>
        </w:tc>
        <w:tc>
          <w:tcPr>
            <w:tcW w:type="dxa" w:w="4536"/>
          </w:tcPr>
          <w:p>
            <w:r>
              <w:rPr>
                <w:rFonts w:ascii="Times New Roman" w:hAnsi="Times New Roman"/>
                <w:sz w:val="20"/>
              </w:rPr>
              <w:t>Klagebegründung VG Hannover (Deadline 30.06.); HV Strafgericht Traunstein</w:t>
            </w:r>
          </w:p>
        </w:tc>
      </w:tr>
      <w:tr>
        <w:tc>
          <w:tcPr>
            <w:tcW w:type="dxa" w:w="4536"/>
          </w:tcPr>
          <w:p>
            <w:r>
              <w:rPr>
                <w:rFonts w:ascii="Times New Roman" w:hAnsi="Times New Roman"/>
                <w:sz w:val="20"/>
              </w:rPr>
              <w:t>Juli 2026</w:t>
            </w:r>
          </w:p>
        </w:tc>
        <w:tc>
          <w:tcPr>
            <w:tcW w:type="dxa" w:w="4536"/>
          </w:tcPr>
          <w:p>
            <w:r>
              <w:rPr>
                <w:rFonts w:ascii="Times New Roman" w:hAnsi="Times New Roman"/>
                <w:sz w:val="20"/>
              </w:rPr>
              <w:t>OP Reza jr. MHH; ggf. Entscheidung Dublin-Eilantrag</w:t>
            </w:r>
          </w:p>
        </w:tc>
      </w:tr>
      <w:tr>
        <w:tc>
          <w:tcPr>
            <w:tcW w:type="dxa" w:w="4536"/>
          </w:tcPr>
          <w:p>
            <w:r>
              <w:rPr>
                <w:rFonts w:ascii="Times New Roman" w:hAnsi="Times New Roman"/>
                <w:sz w:val="20"/>
              </w:rPr>
              <w:t>August–Oktober 2026</w:t>
            </w:r>
          </w:p>
        </w:tc>
        <w:tc>
          <w:tcPr>
            <w:tcW w:type="dxa" w:w="4536"/>
          </w:tcPr>
          <w:p>
            <w:r>
              <w:rPr>
                <w:rFonts w:ascii="Times New Roman" w:hAnsi="Times New Roman"/>
                <w:sz w:val="20"/>
              </w:rPr>
              <w:t>Nachsorge Reza jr.; Abwarten VG Hannover</w:t>
            </w:r>
          </w:p>
        </w:tc>
      </w:tr>
      <w:tr>
        <w:tc>
          <w:tcPr>
            <w:tcW w:type="dxa" w:w="4536"/>
          </w:tcPr>
          <w:p>
            <w:r>
              <w:rPr>
                <w:rFonts w:ascii="Times New Roman" w:hAnsi="Times New Roman"/>
                <w:sz w:val="20"/>
              </w:rPr>
              <w:t>November 2026</w:t>
            </w:r>
          </w:p>
        </w:tc>
        <w:tc>
          <w:tcPr>
            <w:tcW w:type="dxa" w:w="4536"/>
          </w:tcPr>
          <w:p>
            <w:r>
              <w:rPr>
                <w:rFonts w:ascii="Times New Roman" w:hAnsi="Times New Roman"/>
                <w:sz w:val="20"/>
              </w:rPr>
              <w:t>Ggf. mündliche Verhandlung VG Hannover (früh)</w:t>
            </w:r>
          </w:p>
        </w:tc>
      </w:tr>
      <w:tr>
        <w:tc>
          <w:tcPr>
            <w:tcW w:type="dxa" w:w="4536"/>
          </w:tcPr>
          <w:p>
            <w:r>
              <w:rPr>
                <w:rFonts w:ascii="Times New Roman" w:hAnsi="Times New Roman"/>
                <w:sz w:val="20"/>
              </w:rPr>
              <w:t>Dezember 2026</w:t>
            </w:r>
          </w:p>
        </w:tc>
        <w:tc>
          <w:tcPr>
            <w:tcW w:type="dxa" w:w="4536"/>
          </w:tcPr>
          <w:p>
            <w:r>
              <w:rPr>
                <w:rFonts w:ascii="Times New Roman" w:hAnsi="Times New Roman"/>
                <w:sz w:val="20"/>
              </w:rPr>
              <w:t>Jahresende-Bilanz; Entscheidung Mahnoor-Beschwerde</w:t>
            </w:r>
          </w:p>
        </w:tc>
      </w:tr>
    </w:tbl>
    <w:p/>
    <w:p>
      <w:pPr>
        <w:jc w:val="left"/>
      </w:pPr>
      <w:r>
        <w:rPr>
          <w:b/>
        </w:rPr>
        <w:t>Erstellt:</w:t>
      </w:r>
      <w:r>
        <w:t xml:space="preserve"> 22.04.2026, RAin V. Kollatz-Ahnen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