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Verhandlungsvorbereitung VG Hannover 4 A 4188/26</w:t>
      </w:r>
    </w:p>
    <w:p>
      <w:pPr>
        <w:jc w:val="left"/>
      </w:pPr>
      <w:r>
        <w:rPr>
          <w:b/>
        </w:rPr>
        <w:t>Aktenzeichen:</w:t>
      </w:r>
      <w:r>
        <w:t xml:space="preserve"> VG Hannover 4 A 4188/26</w:t>
      </w:r>
    </w:p>
    <w:p>
      <w:pPr>
        <w:jc w:val="left"/>
      </w:pPr>
      <w:r>
        <w:rPr>
          <w:b/>
        </w:rPr>
        <w:t>Erwarteter Verhandlungstermin:</w:t>
      </w:r>
      <w:r>
        <w:t xml:space="preserve"> Q4 2026 (vorläufig; noch keine Ladung)</w:t>
      </w:r>
    </w:p>
    <w:p>
      <w:pPr>
        <w:jc w:val="left"/>
      </w:pPr>
      <w:r>
        <w:rPr>
          <w:b/>
        </w:rPr>
        <w:t>Zuständige Kammer:</w:t>
      </w:r>
      <w:r>
        <w:t xml:space="preserve"> 4. Kammer, Einzelrichter nach § 76 AsylG</w:t>
      </w:r>
    </w:p>
    <w:p>
      <w:pPr>
        <w:jc w:val="left"/>
      </w:pPr>
      <w:r>
        <w:rPr>
          <w:b/>
        </w:rPr>
        <w:t>Stand:</w:t>
      </w:r>
      <w:r>
        <w:t xml:space="preserve"> 23.04.2026</w:t>
      </w:r>
    </w:p>
    <w:p/>
    <w:p>
      <w:pPr>
        <w:pStyle w:val="Heading2"/>
      </w:pPr>
      <w:r>
        <w:rPr>
          <w:rFonts w:ascii="Times New Roman" w:hAnsi="Times New Roman"/>
        </w:rPr>
        <w:t>1. Verfahrensrahmen</w:t>
      </w:r>
    </w:p>
    <w:p>
      <w:pPr>
        <w:jc w:val="left"/>
      </w:pPr>
      <w:r>
        <w:t>In Asylsachen entscheidet gemäß § 76 Abs. 1 AsylG grundsätzlich das Gericht durch einen Einzelrichter. Eine Entscheidung ohne mündliche Verhandlung ist nach § 101 VwGO möglich, wenn beide Beteiligten zustimmen. RAin Kollatz-Ahnen beantragt ausdrücklich mündliche Verhandlung, da:</w:t>
      </w:r>
    </w:p>
    <w:p>
      <w:pPr>
        <w:pStyle w:val="ListBullet"/>
      </w:pPr>
      <w:r>
        <w:t>Die Glaubhaftigkeitsfrage zentraler Streitpunkt ist</w:t>
      </w:r>
    </w:p>
    <w:p>
      <w:pPr>
        <w:pStyle w:val="ListBullet"/>
      </w:pPr>
      <w:r>
        <w:t>Persönliche Anhörung der Mandanten mit qualifiziertem Dolmetscher unerlässlich ist</w:t>
      </w:r>
    </w:p>
    <w:p>
      <w:pPr>
        <w:pStyle w:val="ListBullet"/>
      </w:pPr>
      <w:r>
        <w:t>Zeugenvernehmung (Pastor Rezaei, ggf. videokonferenzlich) beantragt wird</w:t>
      </w:r>
    </w:p>
    <w:p/>
    <w:p>
      <w:pPr>
        <w:pStyle w:val="Heading2"/>
      </w:pPr>
      <w:r>
        <w:rPr>
          <w:rFonts w:ascii="Times New Roman" w:hAnsi="Times New Roman"/>
        </w:rPr>
        <w:t>2. Beweisanträge für die mündliche Verhandlung</w:t>
      </w:r>
    </w:p>
    <w:p>
      <w:pPr>
        <w:jc w:val="left"/>
      </w:pPr>
      <w:r>
        <w:t>RAin Kollatz-Ahnen beabsichtigt, folgende Beweisanträge zu stellen: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Vernehmung Pastor Davood Rezaei (Berlin) als Zeuge, ggf. videokonferenzlich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Taufe und Glaubenspraxis Reza belegen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Einholung schriftlicher Aussage Farshid Golestan (Toronto/Kanada)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Schriftl. Zeugnis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Bahai-Kontakt und Verfolgungsrisiko belegen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Einholung Sachverständigengutachten: Religionswissenschaft Iran (Konversionspraxis)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Plausibilität der Konversion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Einholung aktueller BAMF-Länderinformation Iran (zum Zeitpunkt der mündl. Verhandlung)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Amtl. Auskunft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 Verfolgungslage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Beiziehung psychiatrischen Gutachtens PTBS (Reza Amiri)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Auswirkung auf Glaubhaftigkeitsprüfung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Einholung MHH-Attest Reza jr. (aktualisiert)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Urkundsbeweis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Abschiebungsverbot § 60 Abs. 7 AufenthG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Mandantencoaching</w:t>
      </w:r>
    </w:p>
    <w:p>
      <w:pPr>
        <w:pStyle w:val="Heading3"/>
      </w:pPr>
      <w:r>
        <w:rPr>
          <w:rFonts w:ascii="Times New Roman" w:hAnsi="Times New Roman"/>
        </w:rPr>
        <w:t>3.1 Vorbereitung Reza Amiri</w:t>
      </w:r>
    </w:p>
    <w:p>
      <w:pPr>
        <w:jc w:val="left"/>
      </w:pPr>
      <w:r>
        <w:t>Reza neigt in Befragungssituationen zu Kürze und Ausweichen — eine verständliche Reaktion auf traumatische Erfahrungen, die jedoch als Glaubhaftigkeitsmangel missverstanden werden kann. Das Coaching umfasst:</w:t>
      </w:r>
    </w:p>
    <w:p>
      <w:pPr>
        <w:pStyle w:val="ListBullet"/>
      </w:pPr>
      <w:r>
        <w:t>Schilderung in eigenen Worten üben (konkrete Details: Datum, Ort, Personen, Atmosphäre)</w:t>
      </w:r>
    </w:p>
    <w:p>
      <w:pPr>
        <w:pStyle w:val="ListBullet"/>
      </w:pPr>
      <w:r>
        <w:t>Umgang mit schwierigen Fragen (Falschantworten vermeiden; lieber sagen: „Das weiß ich nicht mehr genau")</w:t>
      </w:r>
    </w:p>
    <w:p>
      <w:pPr>
        <w:pStyle w:val="ListBullet"/>
      </w:pPr>
      <w:r>
        <w:t>Emotional belastende Teile (Verhör, Hausdurchsuchung) in ruhiger Atmosphäre üben</w:t>
      </w:r>
    </w:p>
    <w:p>
      <w:pPr>
        <w:pStyle w:val="ListBullet"/>
      </w:pPr>
      <w:r>
        <w:t>Erklärung des Gerichtsablaufs (Richter, keine Staatsanwaltschaft)</w:t>
      </w:r>
    </w:p>
    <w:p>
      <w:pPr>
        <w:pStyle w:val="Heading3"/>
      </w:pPr>
      <w:r>
        <w:rPr>
          <w:rFonts w:ascii="Times New Roman" w:hAnsi="Times New Roman"/>
        </w:rPr>
        <w:t>3.2 Vorbereitung Shirin Hosseini-Tabrizi</w:t>
      </w:r>
    </w:p>
    <w:p>
      <w:pPr>
        <w:jc w:val="left"/>
      </w:pPr>
      <w:r>
        <w:t>Shirin ist sprachgewandter als Reza und schildert Details präzise. Sie neigt dazu, die eigene Gefährdung kleinzureden, um die des Mannes nicht zu gefährden. Coaching-Schwerpunkte:</w:t>
      </w:r>
    </w:p>
    <w:p>
      <w:pPr>
        <w:pStyle w:val="ListBullet"/>
      </w:pPr>
      <w:r>
        <w:t>Eigenständige Gefährdung klar benennen (Verhörvorladung, Sippenhaft-Risiko)</w:t>
      </w:r>
    </w:p>
    <w:p>
      <w:pPr>
        <w:pStyle w:val="ListBullet"/>
      </w:pPr>
      <w:r>
        <w:t>Religiöse Überzeugungen authentisch beschreiben (auch ohne formale Konversion)</w:t>
      </w:r>
    </w:p>
    <w:p>
      <w:pPr>
        <w:pStyle w:val="ListBullet"/>
      </w:pPr>
      <w:r>
        <w:t>Fragen zum Kindeswohl (Reza jr., Yasmin) ruhig beantworten</w:t>
      </w:r>
    </w:p>
    <w:p>
      <w:pPr>
        <w:pStyle w:val="Heading3"/>
      </w:pPr>
      <w:r>
        <w:rPr>
          <w:rFonts w:ascii="Times New Roman" w:hAnsi="Times New Roman"/>
        </w:rPr>
        <w:t>3.3 Dolmetscher für die Verhandlung</w:t>
      </w:r>
    </w:p>
    <w:p>
      <w:pPr>
        <w:jc w:val="left"/>
      </w:pPr>
      <w:r>
        <w:t>Gericht bestellt üblicherweise eigene Dolmetscher. RAin Kollatz-Ahnen wird beantragen, Frau Nasrin Farshchian (zertifiziert, VDÜ) als Dolmetscherin zuzulassen oder zumindest ihre Anwesenheit als Protokollierungshilfe zu erlauben. Die Qualität der Übersetzung ist für diese Verhandlung entscheidend.</w:t>
      </w:r>
    </w:p>
    <w:p/>
    <w:p>
      <w:pPr>
        <w:pStyle w:val="Heading2"/>
      </w:pPr>
      <w:r>
        <w:rPr>
          <w:rFonts w:ascii="Times New Roman" w:hAnsi="Times New Roman"/>
        </w:rPr>
        <w:t>4. Rechtliche Schwerpunkte der Verhandlung</w:t>
      </w:r>
    </w:p>
    <w:p>
      <w:pPr>
        <w:pStyle w:val="Heading3"/>
      </w:pPr>
      <w:r>
        <w:rPr>
          <w:rFonts w:ascii="Times New Roman" w:hAnsi="Times New Roman"/>
        </w:rPr>
        <w:t>4.1 Glaubhaftigkeitsprüfung</w:t>
      </w:r>
    </w:p>
    <w:p>
      <w:pPr>
        <w:jc w:val="left"/>
      </w:pPr>
      <w:r>
        <w:t>Der Einzelrichter wird vermutlich die Kläger zu 1 und 2 (Reza und Shirin) persönlich befragen. Hauptthemen:</w:t>
      </w:r>
    </w:p>
    <w:p>
      <w:pPr>
        <w:pStyle w:val="ListBullet"/>
      </w:pPr>
      <w:r>
        <w:t>Konversionsprozess: Beginn, Verlauf, Taufe</w:t>
      </w:r>
    </w:p>
    <w:p>
      <w:pPr>
        <w:pStyle w:val="ListBullet"/>
      </w:pPr>
      <w:r>
        <w:t>Bahai-Kontakt: Wann, wie oft, mit wem</w:t>
      </w:r>
    </w:p>
    <w:p>
      <w:pPr>
        <w:pStyle w:val="ListBullet"/>
      </w:pPr>
      <w:r>
        <w:t>Hausdurchsuchung: Wer kam, was wurde mitgenommen, was wurde gefragt</w:t>
      </w:r>
    </w:p>
    <w:p>
      <w:pPr>
        <w:pStyle w:val="ListBullet"/>
      </w:pPr>
      <w:r>
        <w:t>Haftbefehl: Wie erfahren, von wem, wann</w:t>
      </w:r>
    </w:p>
    <w:p>
      <w:pPr>
        <w:jc w:val="left"/>
      </w:pPr>
      <w:r>
        <w:t>RAin Kollatz-Ahnen wird nach der Befragung durch den Richter ergänzende Fragen stellen dürfen.</w:t>
      </w:r>
    </w:p>
    <w:p>
      <w:pPr>
        <w:pStyle w:val="Heading3"/>
      </w:pPr>
      <w:r>
        <w:rPr>
          <w:rFonts w:ascii="Times New Roman" w:hAnsi="Times New Roman"/>
        </w:rPr>
        <w:t>4.2 § 60 Abs. 7 AufenthG (Reza jr.)</w:t>
      </w:r>
    </w:p>
    <w:p>
      <w:pPr>
        <w:jc w:val="left"/>
      </w:pPr>
      <w:r>
        <w:t>Das Gericht wird das MHH-Attest würdigen. Ggf. wird es selbst eine amtsärztliche Stellungnahme einholen. RAin Kollatz-Ahnen wird beantragen, Prof. Dr. Brauner-Scholl als sachverständige Zeugin zu laden.</w:t>
      </w:r>
    </w:p>
    <w:p>
      <w:pPr>
        <w:pStyle w:val="Heading3"/>
      </w:pPr>
      <w:r>
        <w:rPr>
          <w:rFonts w:ascii="Times New Roman" w:hAnsi="Times New Roman"/>
        </w:rPr>
        <w:t>4.3 Dublin-Frage in der Hauptsache</w:t>
      </w:r>
    </w:p>
    <w:p>
      <w:pPr>
        <w:jc w:val="left"/>
      </w:pPr>
      <w:r>
        <w:t>Parallel zum Eilverfahren wird das Hauptsacheverfahren zur Dublin-Frage laufen. Der Einzelrichter wird prüfen, ob die Überstellungsverfügung rechtmäßig ist. Hauptargumente (→ Aktenstücke 09 und 10) werden vorgetragen.</w:t>
      </w:r>
    </w:p>
    <w:p/>
    <w:p>
      <w:pPr>
        <w:pStyle w:val="Heading2"/>
      </w:pPr>
      <w:r>
        <w:rPr>
          <w:rFonts w:ascii="Times New Roman" w:hAnsi="Times New Roman"/>
        </w:rPr>
        <w:t>5. Hilfsanträge und Protokollrügen</w:t>
      </w:r>
    </w:p>
    <w:p>
      <w:pPr>
        <w:jc w:val="left"/>
      </w:pPr>
      <w:r>
        <w:t>Falls der Richter Beweisanträge ablehnt, wird RAin Kollatz-Ahnen jeweils umgehend rügen und begründete Einwände zu Protokoll geben (§ 138 Nr. 6 VwGO — Versagung des rechtlichen Gehörs). Etwaige Revisionsanträge sind vorzubereiten, falls das Urteil negativ ist.</w:t>
      </w:r>
    </w:p>
    <w:p>
      <w:pPr>
        <w:jc w:val="left"/>
      </w:pPr>
      <w:r>
        <w:t>Revisionsrechtlich bedeutsame Rechtsfragen:</w:t>
      </w:r>
    </w:p>
    <w:p>
      <w:pPr>
        <w:pStyle w:val="ListBullet"/>
      </w:pPr>
      <w:r>
        <w:t>EuGH-Vorlagerecht (Art. 267 AEUV): Frage ob Art. 11 Dublin-III-VO eine Familientrennung zulässt</w:t>
      </w:r>
    </w:p>
    <w:p>
      <w:pPr>
        <w:pStyle w:val="ListBullet"/>
      </w:pPr>
      <w:r>
        <w:t>BVerwG-Grundsatzrevision: Maßstab für § 60 Abs. 7 AufenthG bei Kindern</w:t>
      </w:r>
    </w:p>
    <w:p/>
    <w:p>
      <w:pPr>
        <w:pStyle w:val="Heading2"/>
      </w:pPr>
      <w:r>
        <w:rPr>
          <w:rFonts w:ascii="Times New Roman" w:hAnsi="Times New Roman"/>
        </w:rPr>
        <w:t>6. Kostenrisiko</w:t>
      </w:r>
    </w:p>
    <w:p>
      <w:pPr>
        <w:jc w:val="left"/>
      </w:pPr>
      <w:r>
        <w:t>Im Asylverfahren trägt nach § 83b AsylG jede Partei ihre Kosten selbst, sofern nicht anders gesetzlich geregelt. Bei Bewilligung von PKH trägt die Staatskasse die Anwaltskosten. Für die Mandanten entstehen keine direkten Kosten.</w:t>
      </w:r>
    </w:p>
    <w:p/>
    <w:p>
      <w:pPr>
        <w:jc w:val="left"/>
      </w:pPr>
      <w:r>
        <w:rPr>
          <w:b/>
        </w:rPr>
        <w:t>Erstellt:</w:t>
      </w:r>
      <w:r>
        <w:t xml:space="preserve"> 23.04.2026,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§ 76, 83b AsylG; § 86, 101 VwGO; § 138 VwGO; Art. 267 AEUV; § 60 Abs. 7 AufenthG; Dublin-III-VO Art. 11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