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vom 18.06.2026</w:t>
      </w:r>
    </w:p>
    <w:p>
      <w:pPr>
        <w:jc w:val="left"/>
      </w:pPr>
      <w:r>
        <w:t>Dr. Elena Neumann erschien um 14:05 Uhr in der Kanzlei. Sie brachte einen blauen Ordner mit Gehaltsabrechnungen, Kontoauszügen, Schul- und Hortunterlagen sowie eine handschriftliche Liste zu Hausdarlehen und Kinderkosten mit. Die Trennung von Martin Neumann erfolgte nach ihrer Darstellung am 11.02.2026, als Martin in die Einliegerwohnung seines Bruders in Friedberg zog. Die Ehe besteht seit dem 21.09.2012. Ein notarieller Ehevertrag existiert nach beider Erinnerung nicht. Elena ist Fachärztin für Kinder- und Jugendmedizin im MVZ Wetterau, Martin Entwicklungsleiter bei der HydroMotion Systems GmbH und daneben Inhaber des Ingenieurbüros MN Strömungstechnik.</w:t>
      </w:r>
    </w:p>
    <w:p>
      <w:pPr>
        <w:jc w:val="left"/>
      </w:pPr>
      <w:r>
        <w:t>Elena möchte zunächst laufenden Kindesunterhalt, Beteiligung am Mehrbedarf und Trennungsunterhalt sichern. Die Scheidung soll erst nach Beruhigung der Betreuungssituation vorbereitet werden. Streit besteht über die tatsächlichen Einkünfte Martins, weil er sein Nebengewerbe nach Elenas Eindruck "kleinrechnet", im Mai aber eine neue CNC-Fräse geleast und im Juni eine private Depotumschichtung über 42.000 EUR vorgenommen hat. Martin zahlt seit April 2026 monatlich 1.250 EUR für alle drei Kinder zusammen und nichts für Elena. Er schreibt, Elena wohne "kostenlos im Haus" und müsse wegen ihres Arztgehalts keinen Unterhalt verlangen.</w:t>
      </w:r>
    </w:p>
    <w:p>
      <w:pPr>
        <w:jc w:val="left"/>
      </w:pPr>
      <w:r>
        <w:t>Das Familienhaus in Bad Nauheim, Hainerweg 18, steht je zur Hälfte im Miteigentum. Elena wohnt dort mit den Kindern. Die Darlehensraten von 1.840 EUR monatlich werden weiterhin vom gemeinsamen Hauskonto abgebucht, auf das Elena 1.200 EUR und Martin 640 EUR einzahlt. Nebenkosten und kleinere Reparaturen trägt Elena überwiegend allein. Martin verlangt Nutzungsentschädigung ab Juli 2026, zugleich aber keine klare Regelung zu Hauslasten.</w:t>
      </w:r>
    </w:p>
    <w:p>
      <w:pPr>
        <w:jc w:val="left"/>
      </w:pPr>
      <w:r>
        <w:t>Für Zugewinn sind die Stichtage noch zu klären. Elena nennt als Anfangsvermögen ein Depot ihrer Großmutter mit 28.500 EUR und einen Studienkredit von 17.200 EUR. Martin nennt Werkzeug, ein Sparkonto und ein angebliches Darlehen seiner Eltern. Elena bestreitet das Eltern-Darlehen als echte Verbindlichkeit, weil Rückzahlungsabreden nie eingehalten worden seien. Im Endvermögen stehen Haus, Depot, Lebensversicherung, Firmenwert des Nebengewerbes und mehrere Kontobewegungen im Raum.</w:t>
      </w:r>
    </w:p>
    <w:p>
      <w:pPr>
        <w:jc w:val="left"/>
      </w:pPr>
      <w:r>
        <w:t>Fristlage: Die Gegenseite erhielt am 27.05.2026 ein Auskunftsverlangen der bisherigen Anwältin Elenas. Die Antwort vom 10.06.2026 ist unvollständig. Eine gerichtliche Geltendmachung soll vor den Sommerferien vorbereitet werden, weil Hort- und Klassenfahrtkosten im Juli fällig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