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Einkommen Martin</w:t>
      </w:r>
    </w:p>
    <w:p>
      <w:pPr>
        <w:jc w:val="left"/>
      </w:pPr>
      <w:r>
        <w:t>Martin ist Entwicklungsleiter bei der HydroMotion Systems GmbH in Frankfurt. Vorgelegt wurden nur die Gehaltsabrechnungen Januar bis März 2026 und ein Screenshot der Aprilabrechnung. Das monatliche Grundgehalt beträgt brutto 8.950 EUR. Hinzu kommen ein Zielbonus, ein Zuschuss zur betrieblichen Altersversorgung und eine Aktienoption aus dem Mitarbeiterprogramm. Die Bonuszahlung für 2025 wurde nach Martins E-Mail vom 28.03.2026 "wegen schwacher Marge stark gekürzt"; Elena fand auf dem gemeinsamen Steuerordner aber eine Bonusmitteilung über 18.600 EUR brutto.</w:t>
      </w:r>
    </w:p>
    <w:p>
      <w:pPr>
        <w:jc w:val="left"/>
      </w:pPr>
      <w:r>
        <w:t>Martin nutzt einen Firmenwagen Audi Q5 e-tron. Der geldwerte Vorteil ist in den Abrechnungen sichtbar, aber die Entfernungspauschale und Homeoffice-Tage sind nicht nachvollziehbar. Martin behauptet, er müsse das Fahrzeug "fast ausschließlich beruflich" nutzen. Elena berichtet, das Fahrzeug werde für Kinderabholungen, Baumarkt und Wochenenden verwendet. Tank- und Ladekartenbelege liegen nur teilweise vor.</w:t>
      </w:r>
    </w:p>
    <w:p>
      <w:pPr>
        <w:jc w:val="left"/>
      </w:pPr>
      <w:r>
        <w:t>Zusätzlich betreibt Martin das Ingenieurbüro MN Strömungstechnik. Nach seiner Darstellung handelt es sich um gelegentliche Beratungen mit maximal 6.000 EUR Jahresgewinn. Elena legt hingegen drei Rechnungsnummern aus April und Mai 2026 vor, die zusammen 18.900 EUR netto ausweisen. Martin erklärt, zwei Rechnungen seien noch nicht bezahlt und die Materialkosten seien hoch. Kontoauszüge des Geschäftskontos fehlen.</w:t>
      </w:r>
    </w:p>
    <w:p>
      <w:pPr>
        <w:jc w:val="left"/>
      </w:pPr>
      <w:r>
        <w:t>Für die Jahre 2023 bis 2025 fehlen Einkommensteuerbescheide, Einnahmen-Überschuss-Rechnungen, Anlagen G/S, Kontennachweise des Nebengewerbes und der Bonusbescheid für 2025. Martin will diese Unterlagen "nach dem Urlaub" zusammensuchen.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