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Selbstständigkeit Martin</w:t>
      </w:r>
    </w:p>
    <w:p>
      <w:pPr>
        <w:jc w:val="left"/>
      </w:pPr>
      <w:r>
        <w:t>Das Ingenieurbüro MN Strömungstechnik ist seit 2019 angemeldet. Martin berät mittelständische Anlagenbauer bei Pumpen- und Ventilsteuerungen. Nach außen tritt das Büro mit eigener Website, beruflicher E-Mail-Adresse und Umsatzsteuer-ID auf. Die Website nennt als Referenzen Projekte bei Steinbach Pumpenbau, Taunus Wassertechnik und HydroMotion Systems. Elena vermutet Interessenkonflikte, weil Martins Arbeitgeber zugleich mittelbar Kundenkontakte vermittelt.</w:t>
      </w:r>
    </w:p>
    <w:p>
      <w:pPr>
        <w:jc w:val="left"/>
      </w:pPr>
      <w:r>
        <w:t>Vorliegende Rechnungsfragmente: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Rechnung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 netto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 laut Martin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MN-2026-014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Steinbach Pumpenbau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7.800,00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noch 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MN-2026-015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Taunus Wassertechnik KG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6.600,00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teilweise verrechnet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MN-2026-016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Kessler Anlagenservice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4.500,00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bezahlt auf Geschäftskonto</w:t>
            </w:r>
          </w:p>
        </w:tc>
      </w:tr>
    </w:tbl>
    <w:p>
      <w:pPr>
        <w:jc w:val="left"/>
      </w:pPr>
      <w:r>
        <w:t>Martin verweist auf Material- und Softwarekosten. Elena fand auf dem gemeinsamen Hauskonto Abbuchungen für eine CAD-Lizenz von 1.188 EUR und für Werkzeugleasing von monatlich 436 EUR. Unklar ist, ob diese Kosten privat, nebengewerblich oder arbeitgeberbezogen sind. Die neue CNC-Fräse steht nach Angaben von Jakob "in Papas Halle bei Onkel Ralf"; ein Leasingvertrag liegt nicht vor.</w:t>
      </w:r>
    </w:p>
    <w:p>
      <w:pPr>
        <w:jc w:val="left"/>
      </w:pPr>
      <w:r>
        <w:t>Für Unterhalt und Zugewinn sind insbesondere diese Unterlagen offen: EÜR 2023 bis 2025, betriebliche Kontoauszüge Januar 2025 bis Juni 2026, Debitorenliste, Anlagenverzeichnis, Leasingvertrag CNC-Fräse, CAD-Lizenzvertrag, Umsatzsteuervoranmeldungen und Nachweise zu privaten Nutzungsanteilen.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