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Wohnwert, Hauslasten und Instandhaltung</w:t>
      </w:r>
    </w:p>
    <w:p>
      <w:pPr>
        <w:jc w:val="left"/>
      </w:pPr>
      <w:r>
        <w:t>Das Familienhaus Hainerweg 18 in Bad Nauheim wurde 2016 gekauft. Wohnfläche nach Kaufvertrag: 164 Quadratmeter zuzüglich ausgebautem Dachstudio. Grundstück: 512 Quadratmeter. Eigentümer sind Elena und Martin je zur Hälfte. Der ursprüngliche Kaufpreis betrug 548.000 EUR. Für 2026 liegt eine Maklerkurzbewertung mit einer Spanne von 760.000 EUR bis 820.000 EUR vor; Martin hält die Bewertung wegen Feuchtigkeit im Keller für überhöht.</w:t>
      </w:r>
    </w:p>
    <w:p>
      <w:pPr>
        <w:jc w:val="left"/>
      </w:pPr>
      <w:r>
        <w:t>Darlehen: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Bank</w:t>
            </w:r>
          </w:p>
        </w:tc>
        <w:tc>
          <w:tcPr>
            <w:tcW w:type="dxa" w:w="1814"/>
          </w:tcPr>
          <w:p>
            <w:r>
              <w:rPr>
                <w:rFonts w:ascii="Times New Roman" w:hAnsi="Times New Roman"/>
                <w:b/>
                <w:sz w:val="20"/>
              </w:rPr>
              <w:t>Restschuld 31.05.2026</w:t>
            </w:r>
          </w:p>
        </w:tc>
        <w:tc>
          <w:tcPr>
            <w:tcW w:type="dxa" w:w="1814"/>
          </w:tcPr>
          <w:p>
            <w:r>
              <w:rPr>
                <w:rFonts w:ascii="Times New Roman" w:hAnsi="Times New Roman"/>
                <w:b/>
                <w:sz w:val="20"/>
              </w:rPr>
              <w:t>Rate</w:t>
            </w:r>
          </w:p>
        </w:tc>
        <w:tc>
          <w:tcPr>
            <w:tcW w:type="dxa" w:w="1814"/>
          </w:tcPr>
          <w:p>
            <w:r>
              <w:rPr>
                <w:rFonts w:ascii="Times New Roman" w:hAnsi="Times New Roman"/>
                <w:b/>
                <w:sz w:val="20"/>
              </w:rPr>
              <w:t>Zinsbindung</w:t>
            </w:r>
          </w:p>
        </w:tc>
        <w:tc>
          <w:tcPr>
            <w:tcW w:type="dxa" w:w="1814"/>
          </w:tcPr>
          <w:p>
            <w:r>
              <w:rPr>
                <w:rFonts w:ascii="Times New Roman" w:hAnsi="Times New Roman"/>
                <w:b/>
                <w:sz w:val="20"/>
              </w:rPr>
              <w:t>Besonderheit</w:t>
            </w:r>
          </w:p>
        </w:tc>
      </w:tr>
      <w:tr>
        <w:tc>
          <w:tcPr>
            <w:tcW w:type="dxa" w:w="1814"/>
          </w:tcPr>
          <w:p>
            <w:r>
              <w:rPr>
                <w:rFonts w:ascii="Times New Roman" w:hAnsi="Times New Roman"/>
                <w:sz w:val="20"/>
              </w:rPr>
              <w:t>TaunusSparkasse Darlehen 1</w:t>
            </w:r>
          </w:p>
        </w:tc>
        <w:tc>
          <w:tcPr>
            <w:tcW w:type="dxa" w:w="1814"/>
          </w:tcPr>
          <w:p>
            <w:r>
              <w:rPr>
                <w:rFonts w:ascii="Times New Roman" w:hAnsi="Times New Roman"/>
                <w:sz w:val="20"/>
              </w:rPr>
              <w:t>286.400 EUR</w:t>
            </w:r>
          </w:p>
        </w:tc>
        <w:tc>
          <w:tcPr>
            <w:tcW w:type="dxa" w:w="1814"/>
          </w:tcPr>
          <w:p>
            <w:r>
              <w:rPr>
                <w:rFonts w:ascii="Times New Roman" w:hAnsi="Times New Roman"/>
                <w:sz w:val="20"/>
              </w:rPr>
              <w:t>1.210 EUR</w:t>
            </w:r>
          </w:p>
        </w:tc>
        <w:tc>
          <w:tcPr>
            <w:tcW w:type="dxa" w:w="1814"/>
          </w:tcPr>
          <w:p>
            <w:r>
              <w:rPr>
                <w:rFonts w:ascii="Times New Roman" w:hAnsi="Times New Roman"/>
                <w:sz w:val="20"/>
              </w:rPr>
              <w:t>bis 30.09.2031</w:t>
            </w:r>
          </w:p>
        </w:tc>
        <w:tc>
          <w:tcPr>
            <w:tcW w:type="dxa" w:w="1814"/>
          </w:tcPr>
          <w:p>
            <w:r>
              <w:rPr>
                <w:rFonts w:ascii="Times New Roman" w:hAnsi="Times New Roman"/>
                <w:sz w:val="20"/>
              </w:rPr>
              <w:t>Annuität</w:t>
            </w:r>
          </w:p>
        </w:tc>
      </w:tr>
      <w:tr>
        <w:tc>
          <w:tcPr>
            <w:tcW w:type="dxa" w:w="1814"/>
          </w:tcPr>
          <w:p>
            <w:r>
              <w:rPr>
                <w:rFonts w:ascii="Times New Roman" w:hAnsi="Times New Roman"/>
                <w:sz w:val="20"/>
              </w:rPr>
              <w:t>TaunusSparkasse Darlehen 2</w:t>
            </w:r>
          </w:p>
        </w:tc>
        <w:tc>
          <w:tcPr>
            <w:tcW w:type="dxa" w:w="1814"/>
          </w:tcPr>
          <w:p>
            <w:r>
              <w:rPr>
                <w:rFonts w:ascii="Times New Roman" w:hAnsi="Times New Roman"/>
                <w:sz w:val="20"/>
              </w:rPr>
              <w:t>94.800 EUR</w:t>
            </w:r>
          </w:p>
        </w:tc>
        <w:tc>
          <w:tcPr>
            <w:tcW w:type="dxa" w:w="1814"/>
          </w:tcPr>
          <w:p>
            <w:r>
              <w:rPr>
                <w:rFonts w:ascii="Times New Roman" w:hAnsi="Times New Roman"/>
                <w:sz w:val="20"/>
              </w:rPr>
              <w:t>430 EUR</w:t>
            </w:r>
          </w:p>
        </w:tc>
        <w:tc>
          <w:tcPr>
            <w:tcW w:type="dxa" w:w="1814"/>
          </w:tcPr>
          <w:p>
            <w:r>
              <w:rPr>
                <w:rFonts w:ascii="Times New Roman" w:hAnsi="Times New Roman"/>
                <w:sz w:val="20"/>
              </w:rPr>
              <w:t>bis 30.09.2028</w:t>
            </w:r>
          </w:p>
        </w:tc>
        <w:tc>
          <w:tcPr>
            <w:tcW w:type="dxa" w:w="1814"/>
          </w:tcPr>
          <w:p>
            <w:r>
              <w:rPr>
                <w:rFonts w:ascii="Times New Roman" w:hAnsi="Times New Roman"/>
                <w:sz w:val="20"/>
              </w:rPr>
              <w:t>Sondertilgung möglich</w:t>
            </w:r>
          </w:p>
        </w:tc>
      </w:tr>
      <w:tr>
        <w:tc>
          <w:tcPr>
            <w:tcW w:type="dxa" w:w="1814"/>
          </w:tcPr>
          <w:p>
            <w:r>
              <w:rPr>
                <w:rFonts w:ascii="Times New Roman" w:hAnsi="Times New Roman"/>
                <w:sz w:val="20"/>
              </w:rPr>
              <w:t>KfW Energieeffizienz</w:t>
            </w:r>
          </w:p>
        </w:tc>
        <w:tc>
          <w:tcPr>
            <w:tcW w:type="dxa" w:w="1814"/>
          </w:tcPr>
          <w:p>
            <w:r>
              <w:rPr>
                <w:rFonts w:ascii="Times New Roman" w:hAnsi="Times New Roman"/>
                <w:sz w:val="20"/>
              </w:rPr>
              <w:t>38.600 EUR</w:t>
            </w:r>
          </w:p>
        </w:tc>
        <w:tc>
          <w:tcPr>
            <w:tcW w:type="dxa" w:w="1814"/>
          </w:tcPr>
          <w:p>
            <w:r>
              <w:rPr>
                <w:rFonts w:ascii="Times New Roman" w:hAnsi="Times New Roman"/>
                <w:sz w:val="20"/>
              </w:rPr>
              <w:t>200 EUR</w:t>
            </w:r>
          </w:p>
        </w:tc>
        <w:tc>
          <w:tcPr>
            <w:tcW w:type="dxa" w:w="1814"/>
          </w:tcPr>
          <w:p>
            <w:r>
              <w:rPr>
                <w:rFonts w:ascii="Times New Roman" w:hAnsi="Times New Roman"/>
                <w:sz w:val="20"/>
              </w:rPr>
              <w:t>bis 31.12.2029</w:t>
            </w:r>
          </w:p>
        </w:tc>
        <w:tc>
          <w:tcPr>
            <w:tcW w:type="dxa" w:w="1814"/>
          </w:tcPr>
          <w:p>
            <w:r>
              <w:rPr>
                <w:rFonts w:ascii="Times New Roman" w:hAnsi="Times New Roman"/>
                <w:sz w:val="20"/>
              </w:rPr>
              <w:t>Tilgungszuschuss bereits verbucht</w:t>
            </w:r>
          </w:p>
        </w:tc>
      </w:tr>
    </w:tbl>
    <w:p>
      <w:pPr>
        <w:jc w:val="left"/>
      </w:pPr>
      <w:r>
        <w:t>Elena zahlt seit März 2026 zusätzlich Grundsteuer, Gebäudeversicherung, Wasser, Stromabschlag, Heizungswartung und kleinere Reparaturen. Die Wärmepumpe fiel am 06.05.2026 aus; Rechnung Haustechnik Rademacher 1.482,30 EUR. Martin verweigert hälftige Beteiligung mit Hinweis auf angebliche Nutzungsentschädigung.</w:t>
      </w:r>
    </w:p>
    <w:p>
      <w:pPr>
        <w:jc w:val="left"/>
      </w:pPr>
      <w:r>
        <w:t>Nutzungsfragen: Elena nutzt mit den Kindern Erdgeschoss, Obergeschoss und Dachstudio. Martins Arbeitszimmer im Erdgeschoss steht seit März überwiegend leer; dort lagern noch Ordner und Messgeräte. Martin verlangt Zugriff "nach Terminvereinbarung". Eine Vermietung einzelner Räume ist nach Elenas Einschätzung wegen Kinderzimmern und Durchgangslage unrealistisch.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