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Endvermögen, Depot und Lebensversicherung</w:t>
      </w:r>
    </w:p>
    <w:p>
      <w:pPr>
        <w:jc w:val="left"/>
      </w:pPr>
      <w:r>
        <w:t>Als vorläufiger Stichtag für die Zusammenstellung wird der 18.06.2026 verwendet, weil noch kein Scheidungsantrag zugestellt ist. Die tatsächlichen Stichtage müssen später angepasst werden. Die Akte sammelt nur Rohdaten und Belege.</w:t>
      </w:r>
    </w:p>
    <w:p>
      <w:pPr>
        <w:jc w:val="left"/>
      </w:pPr>
      <w:r>
        <w:t>Elena: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/ Saldo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Miteigentumsanteil Haus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Maklerkurzbewertung, Darlehenssalden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Girokonto MVZ-Bank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7.840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Kontoauszug 31.05.2026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Tagesgeld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18.200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Screenshot 17.06.2026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Depot MainInvest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42.600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Depotauszug 31.05.2026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Studienkredit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abgelöst 2019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Pkw Skoda Octavia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16.500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DAT-Auszug fehlt</w:t>
            </w:r>
          </w:p>
        </w:tc>
      </w:tr>
    </w:tbl>
    <w:p>
      <w:pPr>
        <w:jc w:val="left"/>
      </w:pPr>
      <w:r>
        <w:t>Martin: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/ Saldo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Miteigentumsanteil Haus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Maklerkurzbewertung, Darlehenssalden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Girokonto Privat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unbekannt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vorgelegt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Depot TradePort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86.300 EUR am 31.05.2026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Screenshot von Elena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Lebensversicherung Alte Leipziger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Rückkaufswert 54.800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Standmitteilung 01.01.2026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Ingenieurbüro MN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unbekannt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Rechnungen und Anlagenliste lückenhaft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Wiesengrundstück Ober-Mörlen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streitig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Grundbuchauszug fehlt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Audi Q5 e-tron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Firmenwagen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Eigentum Martins, Privatnutzung streitig</w:t>
            </w:r>
          </w:p>
        </w:tc>
      </w:tr>
    </w:tbl>
    <w:p>
      <w:pPr>
        <w:jc w:val="left"/>
      </w:pPr>
      <w:r>
        <w:t>Am 06.06.2026 wurden aus Martins TradePort-Depot Anteile eines MSCI-World-ETF im Gegenwert von 42.000 EUR verkauft. Elena sah die Push-Benachrichtigung auf dem Familien-iPad. Martin erklärt, er habe "Steuerrücklagen und Liquidität für das Büro" gebildet. Eine Kontogutschrift ist nicht belegt.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