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Bankbewegungen und Barabhebungen</w:t>
      </w:r>
    </w:p>
    <w:p>
      <w:pPr>
        <w:jc w:val="left"/>
      </w:pPr>
      <w:r>
        <w:t>Aus den vorliegenden Kontoauszügen März bis Mai 2026 ergeben sich mehrere Bewegungen, die noch aufzuklären sind. Die Liste ist keine rechtliche Bewertung, sondern eine Belegnotiz.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Konto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Buchung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Notiz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04.03.2026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Hauskonto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Überweisung Martin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640,00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Anteil Hausrate, seit April unverändert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07.03.2026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Hauskonto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Lastschrift TaunusSparkasse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-1.840,00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Darlehensraten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12.03.2026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Elena Giro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Zahlung Musikschule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-86,00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Paula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24.03.2026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Martin privat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Barabhebung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-2.000,00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Verwendungszweck unbekannt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03.04.2026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Elena Giro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Überweisung Martin "Kinder"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1.250,00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keine Aufteilung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Martin geschäftlich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Rechnung MN-2026-014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7.800,00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nur Rechnung, kein Zahlungseingang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06.05.2026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Elena Giro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Haustechnik Rademacher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-1.482,30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Wärmepumpe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Elena Giro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Optik Leiser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-318,40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Brille Clara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Martin geschäftlich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Rechnung MN-2026-016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4.500,00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Zahlung behauptet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06.06.2026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Martin Depot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ETF-Verkauf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42.000,00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Gutschrift ungeklärt</w:t>
            </w:r>
          </w:p>
        </w:tc>
      </w:tr>
    </w:tbl>
    <w:p>
      <w:pPr>
        <w:jc w:val="left"/>
      </w:pPr>
      <w:r>
        <w:t>Elena hat keine vollständigen Auszüge der Konten Martins. Die sichtbaren Informationen stammen aus gemeinsamen Unterlagen, Screenshots und älteren Steuerordnern. Für eine gerichtliche Geltendmachung fehlen Kontoauszüge, Depotumsatzliste und Geschäftskonto.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