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Korrespondenz zur Auskunft</w:t>
      </w:r>
    </w:p>
    <w:p>
      <w:pPr>
        <w:jc w:val="left"/>
      </w:pPr>
      <w:r>
        <w:t>Die frühere anwaltliche Vertreterin Elenas forderte Martin mit Schreiben vom 27.05.2026 zur Auskunft über Einkommen und Vermögen auf. Das Schreiben verlangte Gehaltsabrechnungen der letzten zwölf Monate, Steuerbescheide und Steuererklärungen 2023 bis 2025, Nachweise zum Nebengewerbe, Kontoauszüge, Depotstände, Versicherungswerte, Darlehensunterlagen und Angaben zum Grundstück Ober-Mörlen.</w:t>
      </w:r>
    </w:p>
    <w:p>
      <w:pPr>
        <w:jc w:val="left"/>
      </w:pPr>
      <w:r>
        <w:t>Martin antwortete über seinen Anwalt am 10.06.2026. Vorgelegt wurden Gehaltsabrechnungen Januar bis März 2026, ein Screenshot April 2026, eine private Übersicht zu Darlehen und eine Liste von Kostenpositionen. Nicht vorgelegt wurden Steuerbescheide, EÜR, Geschäftskonto, Bonusmitteilung, Depotumsatzliste, Lebensversicherungsstand ab Juni 2026 und Nachweise zur CNC-Fräse.</w:t>
      </w:r>
    </w:p>
    <w:p>
      <w:pPr>
        <w:jc w:val="left"/>
      </w:pPr>
      <w:r>
        <w:t>Auszug aus der gegnerischen E-Mail:</w:t>
      </w:r>
    </w:p>
    <w:p>
      <w:pPr>
        <w:ind w:left="567"/>
      </w:pPr>
      <w:r>
        <w:rPr>
          <w:i/>
        </w:rPr>
        <w:t>Unser Mandant ist selbstverständlich bereit, die gesetzlich geschuldeten Angaben zu machen. Er weist aber darauf hin, dass Frau Dr. Neumann wegen ihres hohen Einkommens und der kostenlosen Nutzung des Familienheims keinen Anspruch auf Ehegattenunterhalt hat. Die übersandten Gehaltsnachweise genügen zunächst. Weitere Unterlagen werden nach Rückkehr unseres Mandanten aus dem Urlaub geprüft.</w:t>
      </w:r>
    </w:p>
    <w:p>
      <w:pPr>
        <w:jc w:val="left"/>
      </w:pPr>
      <w:r>
        <w:t>Elena möchte nicht bis nach den Sommerferien warten. Sie hat Sorge, dass Martin Vermögen verschiebt und die Kinderkosten weiter allein bei ihr bleiben. Eine Eskalation im Umgang soll trotzdem vermieden werden; insbesondere soll keine Formulierung verwendet werden, die Martin gegenüber Paula als Angriff auf sein Vatersein darstellen kann.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