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Fristsachen und Unterlagenliste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Bedeutung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Auskunftsverlangen frühere Anwältin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Verzug und Beleganforderung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 Gegenseite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unvollständige Auskunft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Klassenfahrt-Anzahlung Paula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Liquiditätsdruck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Hortbeitrag Juli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laufender Mehrbedarf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Martins angekündigter Urlaub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01.07.2026 bis 14.07.2026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Verzögerungsargument der Gegenseite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mögliche gerichtliche Antragstellung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 26.07.2026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 Ferienende vorbereiten</w:t>
            </w:r>
          </w:p>
        </w:tc>
      </w:tr>
    </w:tbl>
    <w:p>
      <w:pPr>
        <w:jc w:val="left"/>
      </w:pPr>
      <w:r>
        <w:t>Fehlende Unterlagen Martin:</w:t>
      </w:r>
    </w:p>
    <w:p>
      <w:pPr>
        <w:pStyle w:val="ListNumber"/>
      </w:pPr>
      <w:r>
        <w:t>Gehaltsabrechnungen April bis Juni 2026 vollständig.</w:t>
      </w:r>
    </w:p>
    <w:p>
      <w:pPr>
        <w:pStyle w:val="ListNumber"/>
      </w:pPr>
      <w:r>
        <w:t>Bonusmitteilung 2025 und Zielvereinbarung 2026.</w:t>
      </w:r>
    </w:p>
    <w:p>
      <w:pPr>
        <w:pStyle w:val="ListNumber"/>
      </w:pPr>
      <w:r>
        <w:t>Steuerbescheide und Steuererklärungen 2023 bis 2025.</w:t>
      </w:r>
    </w:p>
    <w:p>
      <w:pPr>
        <w:pStyle w:val="ListNumber"/>
      </w:pPr>
      <w:r>
        <w:t>EÜR und Anlagenverzeichnis MN Strömungstechnik 2023 bis 2025.</w:t>
      </w:r>
    </w:p>
    <w:p>
      <w:pPr>
        <w:pStyle w:val="ListNumber"/>
      </w:pPr>
      <w:r>
        <w:t>Geschäftskontoauszüge Januar 2025 bis Juni 2026.</w:t>
      </w:r>
    </w:p>
    <w:p>
      <w:pPr>
        <w:pStyle w:val="ListNumber"/>
      </w:pPr>
      <w:r>
        <w:t>Rechnungen MN-2026-014 bis MN-2026-016 mit Zahlungseingängen.</w:t>
      </w:r>
    </w:p>
    <w:p>
      <w:pPr>
        <w:pStyle w:val="ListNumber"/>
      </w:pPr>
      <w:r>
        <w:t>Depotstände und Depotumsätze Januar bis Juni 2026.</w:t>
      </w:r>
    </w:p>
    <w:p>
      <w:pPr>
        <w:pStyle w:val="ListNumber"/>
      </w:pPr>
      <w:r>
        <w:t>Lebensversicherung mit aktuellem Rückkaufswert.</w:t>
      </w:r>
    </w:p>
    <w:p>
      <w:pPr>
        <w:pStyle w:val="ListNumber"/>
      </w:pPr>
      <w:r>
        <w:t>Unterlagen zum Grundstück Ober-Mörlen.</w:t>
      </w:r>
    </w:p>
    <w:p>
      <w:pPr>
        <w:pStyle w:val="ListNumber"/>
      </w:pPr>
      <w:r>
        <w:t>Darlehensvertrag Eltern und Zahlungsnachweise.</w:t>
      </w:r>
    </w:p>
    <w:p>
      <w:pPr>
        <w:jc w:val="left"/>
      </w:pPr>
      <w:r>
        <w:t>Fehlende Unterlagen Elena:</w:t>
      </w:r>
    </w:p>
    <w:p>
      <w:pPr>
        <w:pStyle w:val="ListNumber"/>
      </w:pPr>
      <w:r>
        <w:t>vollständige Honorarabrechnungen der Nebentätigkeit.</w:t>
      </w:r>
    </w:p>
    <w:p>
      <w:pPr>
        <w:pStyle w:val="ListNumber"/>
      </w:pPr>
      <w:r>
        <w:t>Nachweis Schenkung Tante 2018 und Verwendung als Sondertilgung.</w:t>
      </w:r>
    </w:p>
    <w:p>
      <w:pPr>
        <w:pStyle w:val="ListNumber"/>
      </w:pPr>
      <w:r>
        <w:t>Belege zur Brille Clara, Nachhilfe Paula und Kieferorthopädie Jakob.</w:t>
      </w:r>
    </w:p>
    <w:p>
      <w:pPr>
        <w:pStyle w:val="ListNumber"/>
      </w:pPr>
      <w:r>
        <w:t>aktuelle Darlehenssalden der TaunusSparkasse.</w:t>
      </w:r>
    </w:p>
    <w:p>
      <w:pPr>
        <w:pStyle w:val="ListNumber"/>
      </w:pPr>
      <w:r>
        <w:t>DAT-Bewertung Skoda Octavia.</w:t>
      </w:r>
    </w:p>
    <w:p>
      <w:pPr>
        <w:jc w:val="left"/>
      </w:pPr>
      <w:r>
        <w:t>Die Kanzlei soll zunächst einen nüchternen Auskunfts- und Zahlungsfahrplan entwickeln. Eine fertige Berechnung liegt bewusst noch nicht in der Akte.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