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Launch Legal Memo</w:t>
      </w:r>
    </w:p>
    <w:p>
      <w:pPr>
        <w:pStyle w:val="Heading2"/>
      </w:pPr>
      <w:r>
        <w:rPr>
          <w:rFonts w:ascii="Times New Roman" w:hAnsi="Times New Roman"/>
        </w:rPr>
        <w:t>Erste Priorität</w:t>
      </w:r>
    </w:p>
    <w:p>
      <w:pPr>
        <w:pStyle w:val="ListBullet"/>
      </w:pPr>
      <w:r>
        <w:t>Material- und Labeldaten gegen Prüfberichte und Supplier-Angaben abgleichen.</w:t>
      </w:r>
    </w:p>
    <w:p>
      <w:pPr>
        <w:pStyle w:val="ListBullet"/>
      </w:pPr>
      <w:r>
        <w:t>Green Claims nur stehen lassen, wenn Beleg, Bezugsgröße und Einschränkung sauber dokumentiert sind.</w:t>
      </w:r>
    </w:p>
    <w:p>
      <w:pPr>
        <w:pStyle w:val="ListBullet"/>
      </w:pPr>
      <w:r>
        <w:t>Kinder-Schal sofort sicherheitstechnisch prüfen; Kordeln, Kleinteile, Warnhinweise und Rückverfolgbarkeit klären.</w:t>
      </w:r>
    </w:p>
    <w:p>
      <w:pPr>
        <w:pStyle w:val="ListBullet"/>
      </w:pPr>
      <w:r>
        <w:t>Creator-Vertrag: Nutzungsrechte, Bearbeitung, KI-/Retusche, Paid Ads, Laufzeit und Territory nachziehen.</w:t>
      </w:r>
    </w:p>
    <w:p>
      <w:pPr>
        <w:pStyle w:val="ListBullet"/>
      </w:pPr>
      <w:r>
        <w:t>Plattformlisting sichern: Screenshots, Testkauf, Verkäuferdaten, Notice-and-Action.</w:t>
      </w:r>
    </w:p>
    <w:p>
      <w:pPr>
        <w:pStyle w:val="Heading2"/>
      </w:pPr>
      <w:r>
        <w:rPr>
          <w:rFonts w:ascii="Times New Roman" w:hAnsi="Times New Roman"/>
        </w:rPr>
        <w:t>Nicht übersehen</w:t>
      </w:r>
    </w:p>
    <w:p>
      <w:pPr>
        <w:jc w:val="left"/>
      </w:pPr>
      <w:r>
        <w:t>Fashion Law ist hier kein einzelnes Rechtsgebiet. Die Akte verbindet Marke, Design, Urheberrecht, UWG, Produktsicherheit, Textilkennzeichnung, Datenschutz, E-Commerce, Arbeits-/Freelancerrecht, Lieferkette und Krisenkommunikation. Das Team sollte deshalb erst die Launch-Fähigkeit prüfen und erst danach die „schönen“ Kampagnenfragen freigeben.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