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Notice-and-Action</w:t>
      </w:r>
    </w:p>
    <w:p>
      <w:pPr>
        <w:pStyle w:val="Heading2"/>
      </w:pPr>
      <w:r>
        <w:rPr>
          <w:rFonts w:ascii="Times New Roman" w:hAnsi="Times New Roman"/>
        </w:rPr>
        <w:t>Gemeldetes Angebot</w:t>
      </w:r>
    </w:p>
    <w:p>
      <w:pPr>
        <w:jc w:val="left"/>
      </w:pPr>
      <w:r>
        <w:t>Anbieter „UrbanMoth Factory“, Listing-ID MH-88241, Produktname „Night Moth Coat“, abrufbar seit 28.05.2026. Screenshot, Preis, Verkäuferprofil, Lieferzeit und Produktbilder liegen im Ordner Plattformfund.</w:t>
      </w:r>
    </w:p>
    <w:p>
      <w:pPr>
        <w:pStyle w:val="Heading2"/>
      </w:pPr>
      <w:r>
        <w:rPr>
          <w:rFonts w:ascii="Times New Roman" w:hAnsi="Times New Roman"/>
        </w:rPr>
        <w:t>Rechte und Begründung</w:t>
      </w:r>
    </w:p>
    <w:p>
      <w:pPr>
        <w:jc w:val="left"/>
      </w:pPr>
      <w:r>
        <w:t>Die Mandantin beanstandet die Übernahme des Nachtfalter-Prints, der Produktfotografie und der beschreibenden Elemente „folded wing collar“ und „shadow seam“. Vor dem Absenden muss getrennt geprüft werden, ob Marke, Design, Urheberrecht, UWG oder nur Plattform-AGB der tragfähigste Meldegrund ist.</w:t>
      </w:r>
    </w:p>
    <w:p>
      <w:pPr>
        <w:pStyle w:val="Heading2"/>
      </w:pPr>
      <w:r>
        <w:rPr>
          <w:rFonts w:ascii="Times New Roman" w:hAnsi="Times New Roman"/>
        </w:rPr>
        <w:t>Bitte an Plattform</w:t>
      </w:r>
    </w:p>
    <w:p>
      <w:pPr>
        <w:jc w:val="left"/>
      </w:pPr>
      <w:r>
        <w:t>Sperrung des konkreten Angebots, Sicherung der Verkäuferdaten, Auskunft zum Wiederholungstäterstatus, Prüfung weiterer Listings mit identischem Bildmaterial und Bestätigung der Maßnahme binnen 48 Stunden.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