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China-Wirtschaftsakte Morgenstern - Sachverhalt</w:t>
      </w:r>
    </w:p>
    <w:p>
      <w:pPr>
        <w:jc w:val="left"/>
      </w:pPr>
      <w:r>
        <w:t>Fabrikbetrieb, Import/Export, De-Risking, IP, Daten, Lieferkette, Exportkontrolle und politisches Risiko.</w:t>
      </w:r>
    </w:p>
    <w:p>
      <w:pPr>
        <w:jc w:val="left"/>
      </w:pPr>
      <w:r>
        <w:t>Die Unterlagen liegen nicht als saubere Lehrbuchakte vor, sondern als Mandats- und Arbeitsordner: E-Mail, Vermerk, Dashboard, PDF-Memo und Bildanlage widersprechen sich teilweise oder setzen unterschiedliche Perspektiven. Die Bearbeitung soll die Widersprüche sichtbar machen und zu einem belastbaren nächsten Schritt führen.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Mandantin: Morgenstern &amp; Falkenau GmbH, Geschäftsführung Dr. Adelheid Morgenstern</w:t>
      </w:r>
    </w:p>
    <w:p>
      <w:pPr>
        <w:pStyle w:val="ListBullet"/>
      </w:pPr>
      <w:r>
        <w:t>Bearbeitung: Kanzlei Steinbach, Röder &amp; Partner</w:t>
      </w:r>
    </w:p>
    <w:p>
      <w:pPr>
        <w:pStyle w:val="ListBullet"/>
      </w:pPr>
      <w:r>
        <w:t>Gegenüber: Behörde, Vertragspartner, Archiv, Lieferant oder Schiedspartei je nach Teilproblem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pStyle w:val="ListNumber"/>
      </w:pPr>
      <w:r>
        <w:t>Welche Quelle ist verbindlich und welche nur Indiz, Soft-Law, historische Quelle oder Handelsbrauch?</w:t>
      </w:r>
    </w:p>
    <w:p>
      <w:pPr>
        <w:pStyle w:val="ListNumber"/>
      </w:pPr>
      <w:r>
        <w:t>Welche Belege fehlen noch?</w:t>
      </w:r>
    </w:p>
    <w:p>
      <w:pPr>
        <w:pStyle w:val="ListNumber"/>
      </w:pPr>
      <w:r>
        <w:t>Welche taktische Entscheidung ist jetzt fällig?</w:t>
      </w:r>
    </w:p>
    <w:p>
      <w:pPr>
        <w:pStyle w:val="ListNumber"/>
      </w:pPr>
      <w:r>
        <w:t>Wie muss das Ergebnis für Geschäftsführung, Gericht, Behörde, Schiedsgericht oder Unterricht aufbereitet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