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Mandatsaufnahme und Rollen</w:t>
      </w:r>
    </w:p>
    <w:p>
      <w:pPr>
        <w:pStyle w:val="Heading2"/>
      </w:pPr>
      <w:r>
        <w:rPr>
          <w:rFonts w:ascii="Times New Roman" w:hAnsi="Times New Roman"/>
        </w:rPr>
        <w:t>Beteiligte Personen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Person</w:t>
            </w:r>
          </w:p>
        </w:tc>
        <w:tc>
          <w:tcPr>
            <w:tcW w:type="dxa" w:w="2268"/>
          </w:tcPr>
          <w:p>
            <w:r>
              <w:rPr>
                <w:rFonts w:ascii="Times New Roman" w:hAnsi="Times New Roman"/>
                <w:b/>
                <w:sz w:val="20"/>
              </w:rPr>
              <w:t>Rolle</w:t>
            </w:r>
          </w:p>
        </w:tc>
        <w:tc>
          <w:tcPr>
            <w:tcW w:type="dxa" w:w="2268"/>
          </w:tcPr>
          <w:p>
            <w:r>
              <w:rPr>
                <w:rFonts w:ascii="Times New Roman" w:hAnsi="Times New Roman"/>
                <w:b/>
                <w:sz w:val="20"/>
              </w:rPr>
              <w:t>Ton in der Akte</w:t>
            </w:r>
          </w:p>
        </w:tc>
        <w:tc>
          <w:tcPr>
            <w:tcW w:type="dxa" w:w="2268"/>
          </w:tcPr>
          <w:p>
            <w:r>
              <w:rPr>
                <w:rFonts w:ascii="Times New Roman" w:hAnsi="Times New Roman"/>
                <w:b/>
                <w:sz w:val="20"/>
              </w:rPr>
              <w:t>Relevanz</w:t>
            </w:r>
          </w:p>
        </w:tc>
      </w:tr>
      <w:tr>
        <w:tc>
          <w:tcPr>
            <w:tcW w:type="dxa" w:w="2268"/>
          </w:tcPr>
          <w:p>
            <w:r>
              <w:rPr>
                <w:rFonts w:ascii="Times New Roman" w:hAnsi="Times New Roman"/>
                <w:sz w:val="20"/>
              </w:rPr>
              <w:t>Dr. Mara Eichwald</w:t>
            </w:r>
          </w:p>
        </w:tc>
        <w:tc>
          <w:tcPr>
            <w:tcW w:type="dxa" w:w="2268"/>
          </w:tcPr>
          <w:p>
            <w:r>
              <w:rPr>
                <w:rFonts w:ascii="Times New Roman" w:hAnsi="Times New Roman"/>
                <w:sz w:val="20"/>
              </w:rPr>
              <w:t>CFO Riedblick Sensorik GmbH</w:t>
            </w:r>
          </w:p>
        </w:tc>
        <w:tc>
          <w:tcPr>
            <w:tcW w:type="dxa" w:w="2268"/>
          </w:tcPr>
          <w:p>
            <w:r>
              <w:rPr>
                <w:rFonts w:ascii="Times New Roman" w:hAnsi="Times New Roman"/>
                <w:sz w:val="20"/>
              </w:rPr>
              <w:t>vorsichtig, zahlenorientiert</w:t>
            </w:r>
          </w:p>
        </w:tc>
        <w:tc>
          <w:tcPr>
            <w:tcW w:type="dxa" w:w="2268"/>
          </w:tcPr>
          <w:p>
            <w:r>
              <w:rPr>
                <w:rFonts w:ascii="Times New Roman" w:hAnsi="Times New Roman"/>
                <w:sz w:val="20"/>
              </w:rPr>
              <w:t>will Auszahlung, fürchtet Betriebsprüfung</w:t>
            </w:r>
          </w:p>
        </w:tc>
      </w:tr>
      <w:tr>
        <w:tc>
          <w:tcPr>
            <w:tcW w:type="dxa" w:w="2268"/>
          </w:tcPr>
          <w:p>
            <w:r>
              <w:rPr>
                <w:rFonts w:ascii="Times New Roman" w:hAnsi="Times New Roman"/>
                <w:sz w:val="20"/>
              </w:rPr>
              <w:t>Jens Falkenstein</w:t>
            </w:r>
          </w:p>
        </w:tc>
        <w:tc>
          <w:tcPr>
            <w:tcW w:type="dxa" w:w="2268"/>
          </w:tcPr>
          <w:p>
            <w:r>
              <w:rPr>
                <w:rFonts w:ascii="Times New Roman" w:hAnsi="Times New Roman"/>
                <w:sz w:val="20"/>
              </w:rPr>
              <w:t>CTO</w:t>
            </w:r>
          </w:p>
        </w:tc>
        <w:tc>
          <w:tcPr>
            <w:tcW w:type="dxa" w:w="2268"/>
          </w:tcPr>
          <w:p>
            <w:r>
              <w:rPr>
                <w:rFonts w:ascii="Times New Roman" w:hAnsi="Times New Roman"/>
                <w:sz w:val="20"/>
              </w:rPr>
              <w:t>technisch stark, sprachlich ungeduldig</w:t>
            </w:r>
          </w:p>
        </w:tc>
        <w:tc>
          <w:tcPr>
            <w:tcW w:type="dxa" w:w="2268"/>
          </w:tcPr>
          <w:p>
            <w:r>
              <w:rPr>
                <w:rFonts w:ascii="Times New Roman" w:hAnsi="Times New Roman"/>
                <w:sz w:val="20"/>
              </w:rPr>
              <w:t>liefert FuE-Kern, neigt zu "wir sind einzigartig"</w:t>
            </w:r>
          </w:p>
        </w:tc>
      </w:tr>
      <w:tr>
        <w:tc>
          <w:tcPr>
            <w:tcW w:type="dxa" w:w="2268"/>
          </w:tcPr>
          <w:p>
            <w:r>
              <w:rPr>
                <w:rFonts w:ascii="Times New Roman" w:hAnsi="Times New Roman"/>
                <w:sz w:val="20"/>
              </w:rPr>
              <w:t>Karla Mertens</w:t>
            </w:r>
          </w:p>
        </w:tc>
        <w:tc>
          <w:tcPr>
            <w:tcW w:type="dxa" w:w="2268"/>
          </w:tcPr>
          <w:p>
            <w:r>
              <w:rPr>
                <w:rFonts w:ascii="Times New Roman" w:hAnsi="Times New Roman"/>
                <w:sz w:val="20"/>
              </w:rPr>
              <w:t>Head of Product</w:t>
            </w:r>
          </w:p>
        </w:tc>
        <w:tc>
          <w:tcPr>
            <w:tcW w:type="dxa" w:w="2268"/>
          </w:tcPr>
          <w:p>
            <w:r>
              <w:rPr>
                <w:rFonts w:ascii="Times New Roman" w:hAnsi="Times New Roman"/>
                <w:sz w:val="20"/>
              </w:rPr>
              <w:t>will Markteinführung Q4/2026</w:t>
            </w:r>
          </w:p>
        </w:tc>
        <w:tc>
          <w:tcPr>
            <w:tcW w:type="dxa" w:w="2268"/>
          </w:tcPr>
          <w:p>
            <w:r>
              <w:rPr>
                <w:rFonts w:ascii="Times New Roman" w:hAnsi="Times New Roman"/>
                <w:sz w:val="20"/>
              </w:rPr>
              <w:t>vermischt Produkt-Roadmap mit Forschung</w:t>
            </w:r>
          </w:p>
        </w:tc>
      </w:tr>
      <w:tr>
        <w:tc>
          <w:tcPr>
            <w:tcW w:type="dxa" w:w="2268"/>
          </w:tcPr>
          <w:p>
            <w:r>
              <w:rPr>
                <w:rFonts w:ascii="Times New Roman" w:hAnsi="Times New Roman"/>
                <w:sz w:val="20"/>
              </w:rPr>
              <w:t>Oskar Hein</w:t>
            </w:r>
          </w:p>
        </w:tc>
        <w:tc>
          <w:tcPr>
            <w:tcW w:type="dxa" w:w="2268"/>
          </w:tcPr>
          <w:p>
            <w:r>
              <w:rPr>
                <w:rFonts w:ascii="Times New Roman" w:hAnsi="Times New Roman"/>
                <w:sz w:val="20"/>
              </w:rPr>
              <w:t>Embedded Engineer</w:t>
            </w:r>
          </w:p>
        </w:tc>
        <w:tc>
          <w:tcPr>
            <w:tcW w:type="dxa" w:w="2268"/>
          </w:tcPr>
          <w:p>
            <w:r>
              <w:rPr>
                <w:rFonts w:ascii="Times New Roman" w:hAnsi="Times New Roman"/>
                <w:sz w:val="20"/>
              </w:rPr>
              <w:t>führt Laborjournal ordentlich</w:t>
            </w:r>
          </w:p>
        </w:tc>
        <w:tc>
          <w:tcPr>
            <w:tcW w:type="dxa" w:w="2268"/>
          </w:tcPr>
          <w:p>
            <w:r>
              <w:rPr>
                <w:rFonts w:ascii="Times New Roman" w:hAnsi="Times New Roman"/>
                <w:sz w:val="20"/>
              </w:rPr>
              <w:t>Schlüsselperson für AP2/AP3</w:t>
            </w:r>
          </w:p>
        </w:tc>
      </w:tr>
      <w:tr>
        <w:tc>
          <w:tcPr>
            <w:tcW w:type="dxa" w:w="2268"/>
          </w:tcPr>
          <w:p>
            <w:r>
              <w:rPr>
                <w:rFonts w:ascii="Times New Roman" w:hAnsi="Times New Roman"/>
                <w:sz w:val="20"/>
              </w:rPr>
              <w:t>Leandra Tavares</w:t>
            </w:r>
          </w:p>
        </w:tc>
        <w:tc>
          <w:tcPr>
            <w:tcW w:type="dxa" w:w="2268"/>
          </w:tcPr>
          <w:p>
            <w:r>
              <w:rPr>
                <w:rFonts w:ascii="Times New Roman" w:hAnsi="Times New Roman"/>
                <w:sz w:val="20"/>
              </w:rPr>
              <w:t>Laborpartnerin Lissabon</w:t>
            </w:r>
          </w:p>
        </w:tc>
        <w:tc>
          <w:tcPr>
            <w:tcW w:type="dxa" w:w="2268"/>
          </w:tcPr>
          <w:p>
            <w:r>
              <w:rPr>
                <w:rFonts w:ascii="Times New Roman" w:hAnsi="Times New Roman"/>
                <w:sz w:val="20"/>
              </w:rPr>
              <w:t>präzise, aber Vertrag knapp</w:t>
            </w:r>
          </w:p>
        </w:tc>
        <w:tc>
          <w:tcPr>
            <w:tcW w:type="dxa" w:w="2268"/>
          </w:tcPr>
          <w:p>
            <w:r>
              <w:rPr>
                <w:rFonts w:ascii="Times New Roman" w:hAnsi="Times New Roman"/>
                <w:sz w:val="20"/>
              </w:rPr>
              <w:t>Auftragsforschung/Unterauftrag kritisch</w:t>
            </w:r>
          </w:p>
        </w:tc>
      </w:tr>
      <w:tr>
        <w:tc>
          <w:tcPr>
            <w:tcW w:type="dxa" w:w="2268"/>
          </w:tcPr>
          <w:p>
            <w:r>
              <w:rPr>
                <w:rFonts w:ascii="Times New Roman" w:hAnsi="Times New Roman"/>
                <w:sz w:val="20"/>
              </w:rPr>
              <w:t>RAin Dr. Paula Norderhof</w:t>
            </w:r>
          </w:p>
        </w:tc>
        <w:tc>
          <w:tcPr>
            <w:tcW w:type="dxa" w:w="2268"/>
          </w:tcPr>
          <w:p>
            <w:r>
              <w:rPr>
                <w:rFonts w:ascii="Times New Roman" w:hAnsi="Times New Roman"/>
                <w:sz w:val="20"/>
              </w:rPr>
              <w:t>externe Rechtsberatung</w:t>
            </w:r>
          </w:p>
        </w:tc>
        <w:tc>
          <w:tcPr>
            <w:tcW w:type="dxa" w:w="2268"/>
          </w:tcPr>
          <w:p>
            <w:r>
              <w:rPr>
                <w:rFonts w:ascii="Times New Roman" w:hAnsi="Times New Roman"/>
                <w:sz w:val="20"/>
              </w:rPr>
              <w:t>soll Förderakte und Einspruch führen</w:t>
            </w:r>
          </w:p>
        </w:tc>
        <w:tc>
          <w:tcPr>
            <w:tcW w:type="dxa" w:w="2268"/>
          </w:tcPr>
          <w:p>
            <w:r>
              <w:rPr>
                <w:rFonts w:ascii="Times New Roman" w:hAnsi="Times New Roman"/>
                <w:sz w:val="20"/>
              </w:rPr>
              <w:t>braucht klare Belegmatrix</w:t>
            </w:r>
          </w:p>
        </w:tc>
      </w:tr>
      <w:tr>
        <w:tc>
          <w:tcPr>
            <w:tcW w:type="dxa" w:w="2268"/>
          </w:tcPr>
          <w:p>
            <w:r>
              <w:rPr>
                <w:rFonts w:ascii="Times New Roman" w:hAnsi="Times New Roman"/>
                <w:sz w:val="20"/>
              </w:rPr>
              <w:t>StB Henning Trautmann</w:t>
            </w:r>
          </w:p>
        </w:tc>
        <w:tc>
          <w:tcPr>
            <w:tcW w:type="dxa" w:w="2268"/>
          </w:tcPr>
          <w:p>
            <w:r>
              <w:rPr>
                <w:rFonts w:ascii="Times New Roman" w:hAnsi="Times New Roman"/>
                <w:sz w:val="20"/>
              </w:rPr>
              <w:t>Steuerberater</w:t>
            </w:r>
          </w:p>
        </w:tc>
        <w:tc>
          <w:tcPr>
            <w:tcW w:type="dxa" w:w="2268"/>
          </w:tcPr>
          <w:p>
            <w:r>
              <w:rPr>
                <w:rFonts w:ascii="Times New Roman" w:hAnsi="Times New Roman"/>
                <w:sz w:val="20"/>
              </w:rPr>
              <w:t>hat ELSTER-Prozess im Blick</w:t>
            </w:r>
          </w:p>
        </w:tc>
        <w:tc>
          <w:tcPr>
            <w:tcW w:type="dxa" w:w="2268"/>
          </w:tcPr>
          <w:p>
            <w:r>
              <w:rPr>
                <w:rFonts w:ascii="Times New Roman" w:hAnsi="Times New Roman"/>
                <w:sz w:val="20"/>
              </w:rPr>
              <w:t>Zahlenteil und Finanzamt-Kommunikation</w:t>
            </w:r>
          </w:p>
        </w:tc>
      </w:tr>
    </w:tbl>
    <w:p>
      <w:pPr>
        <w:pStyle w:val="Heading2"/>
      </w:pPr>
      <w:r>
        <w:rPr>
          <w:rFonts w:ascii="Times New Roman" w:hAnsi="Times New Roman"/>
        </w:rPr>
        <w:t>Mandatsziel</w:t>
      </w:r>
    </w:p>
    <w:p>
      <w:pPr>
        <w:jc w:val="left"/>
      </w:pPr>
      <w:r>
        <w:t>Die Mandantin möchte eine belastbare Förderstrategie. Es geht nicht darum, jeden Euro irgendwie zu retten, sondern die guten Teile der Entwicklung so darzustellen, dass BSFZ und Finanzamt sie prüfen können. Der Aktenstand spricht für ein echtes Entwicklungsrisiko in AP2 bis AP5. Dagegen sind Produktdokumentation, Vertriebsvorbereitung, Standard-QA und bestimmte Cloud-Dashboard-Arbeiten wahrscheinlich auszuscheiden.</w:t>
      </w:r>
    </w:p>
    <w:p>
      <w:pPr>
        <w:pStyle w:val="Heading2"/>
      </w:pPr>
      <w:r>
        <w:rPr>
          <w:rFonts w:ascii="Times New Roman" w:hAnsi="Times New Roman"/>
        </w:rPr>
        <w:t>Offene Vollmachts- und Zuständigkeitsfragen</w:t>
      </w:r>
    </w:p>
    <w:p>
      <w:pPr>
        <w:pStyle w:val="ListBullet"/>
      </w:pPr>
      <w:r>
        <w:t>BSFZ-Portalzugang liegt derzeit bei der CFO-Assistentin; die externe Beratung hat nur Screenshots.</w:t>
      </w:r>
    </w:p>
    <w:p>
      <w:pPr>
        <w:pStyle w:val="ListBullet"/>
      </w:pPr>
      <w:r>
        <w:t>Steuerlicher Antrag beim Finanzamt wurde noch nicht vollständig eingereicht; Entwurf liegt vor.</w:t>
      </w:r>
    </w:p>
    <w:p>
      <w:pPr>
        <w:pStyle w:val="ListBullet"/>
      </w:pPr>
      <w:r>
        <w:t>Für die Rückfragefrist der BSFZ fehlt im Kalender eine klare Fristnotiz.</w:t>
      </w:r>
    </w:p>
    <w:p>
      <w:pPr>
        <w:pStyle w:val="ListBullet"/>
      </w:pPr>
      <w:r>
        <w:t>Der Lissabon-Vertrag enthält keine saubere Trennung zwischen Forschungsleistung, Testdienstleistung und Datenhosting.</w:t>
      </w:r>
    </w:p>
    <w:p>
      <w:pPr>
        <w:pStyle w:val="ListBullet"/>
      </w:pPr>
      <w:r>
        <w:t>Die Investoren verlangen bis 15.07.2026 einen Liquiditätsplan mit Forschungszulage als separater Zeile.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