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BSFZ-Antrag Entwurf Langfassung</w:t>
      </w:r>
    </w:p>
    <w:p>
      <w:pPr>
        <w:pStyle w:val="Heading2"/>
      </w:pPr>
      <w:r>
        <w:rPr>
          <w:rFonts w:ascii="Times New Roman" w:hAnsi="Times New Roman"/>
        </w:rPr>
        <w:t>Arbeitsfassung Stand 20.05.2026</w:t>
      </w:r>
    </w:p>
    <w:p>
      <w:pPr>
        <w:jc w:val="left"/>
      </w:pPr>
      <w:r>
        <w:t>Das Unternehmen entwickelt ein neuartiges Sensorsystem zur Echtzeit-Erkennung und Korrektur von Messdrift in feuchten Industrieumgebungen. Gegenüber marktüblichen Sensoren soll die Lösung Messfehler nicht erst nachträglich im Leitstand erkennen, sondern bereits im Edge-Gerät eine Wahrscheinlichkeitsbewertung des Messzustands erzeugen und die Kalibrierungsstrategie dynamisch anpassen.</w:t>
      </w:r>
    </w:p>
    <w:p>
      <w:pPr>
        <w:pStyle w:val="Heading2"/>
      </w:pPr>
      <w:r>
        <w:rPr>
          <w:rFonts w:ascii="Times New Roman" w:hAnsi="Times New Roman"/>
        </w:rPr>
        <w:t>Schwacher Abschnitt aus Erstentwurf</w:t>
      </w:r>
    </w:p>
    <w:p>
      <w:pPr>
        <w:jc w:val="left"/>
      </w:pPr>
      <w:r>
        <w:t>"AeroSense ist eine revolutionäre KI-Lösung mit selbstlernendem Algorithmus. Die Plattform erkennt alle Probleme automatisch und macht Wartung effizienter. Kein anderes Produkt am Markt kann das so gut. Die Entwicklung ist sehr innovativ und wird unsere Kunden begeistern."</w:t>
      </w:r>
    </w:p>
    <w:p>
      <w:pPr>
        <w:pStyle w:val="Heading2"/>
      </w:pPr>
      <w:r>
        <w:rPr>
          <w:rFonts w:ascii="Times New Roman" w:hAnsi="Times New Roman"/>
        </w:rPr>
        <w:t>Reparaturhinweis</w:t>
      </w:r>
    </w:p>
    <w:p>
      <w:pPr>
        <w:jc w:val="left"/>
      </w:pPr>
      <w:r>
        <w:t>Dieser Abschnitt ist in der jetzigen Form nicht brauchbar. Er enthält Wertungen, Werbesprache und keine prüfbare technische Unsicherheit. Besser ist eine knappe, technische Darstellung: Welche Messgröße driftet, unter welchen Umweltbedingungen, warum Standardfilter versagen, welche Versuchsreihen geplant sind, welche Kriterien Erfolg/Misserfolg trennen und wie die Ergebnisse reproduziert werden.</w:t>
      </w:r>
    </w:p>
    <w:p>
      <w:pPr>
        <w:pStyle w:val="Heading2"/>
      </w:pPr>
      <w:r>
        <w:rPr>
          <w:rFonts w:ascii="Times New Roman" w:hAnsi="Times New Roman"/>
        </w:rPr>
        <w:t>Förderfähiger Kern in nüchterner Sprache</w:t>
      </w:r>
    </w:p>
    <w:p>
      <w:pPr>
        <w:jc w:val="left"/>
      </w:pPr>
      <w:r>
        <w:t>Das Vorhaben untersucht, ob die Sensordrift bei wechselnder Kondensation und Vibration durch eine Kombination aus Impedanzprofil, Temperaturgradient und lokalem Kurzzeitmodell mit begrenztem Speicher zuverlässig erkannt werden kann. Unklar ist insbesondere, ob die im Labor erzielten Muster auf reale Anlagen übertragbar sind, ohne dass das System für jede Linie vollständig neu kalibriert werden muss. Die Arbeiten erfolgen systematisch in Arbeitspaketen mit Messaufbau, Prototyp, Laborvariation, Pilotanlage und Fehleranalyse.</w:t>
      </w:r>
    </w:p>
    <w:p>
      <w:pPr>
        <w:pStyle w:val="Heading2"/>
      </w:pPr>
      <w:r>
        <w:rPr>
          <w:rFonts w:ascii="Times New Roman" w:hAnsi="Times New Roman"/>
        </w:rPr>
        <w:t>Noch einzufügende Belege</w:t>
      </w:r>
    </w:p>
    <w:p>
      <w:pPr>
        <w:pStyle w:val="ListBullet"/>
      </w:pPr>
      <w:r>
        <w:t>Stand-der-Technik-Recherche mit konkreten Vergleichslösungen.</w:t>
      </w:r>
    </w:p>
    <w:p>
      <w:pPr>
        <w:pStyle w:val="ListBullet"/>
      </w:pPr>
      <w:r>
        <w:t>Laborjournal AP2 mit Driftmessungen bei 70 bis 95 Prozent relativer Feuchte.</w:t>
      </w:r>
    </w:p>
    <w:p>
      <w:pPr>
        <w:pStyle w:val="ListBullet"/>
      </w:pPr>
      <w:r>
        <w:t>Protokoll der gescheiterten Modellvariante vom 12.02.2025.</w:t>
      </w:r>
    </w:p>
    <w:p>
      <w:pPr>
        <w:pStyle w:val="ListBullet"/>
      </w:pPr>
      <w:r>
        <w:t>Liste der ausgeschiedenen Routinearbeiten.</w:t>
      </w:r>
    </w:p>
    <w:p>
      <w:pPr>
        <w:pStyle w:val="ListBullet"/>
      </w:pPr>
      <w:r>
        <w:t>Zuordnung der Personenstunden zu Arbeitspaketen.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