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Stand der Technik und Abgrenzung</w:t>
      </w:r>
    </w:p>
    <w:p>
      <w:pPr>
        <w:pStyle w:val="Heading2"/>
      </w:pPr>
      <w:r>
        <w:rPr>
          <w:rFonts w:ascii="Times New Roman" w:hAnsi="Times New Roman"/>
        </w:rPr>
        <w:t>Recherchebild</w:t>
      </w:r>
    </w:p>
    <w:p>
      <w:pPr>
        <w:jc w:val="left"/>
      </w:pPr>
      <w:r>
        <w:t>Die vorhandene Recherche ist noch nicht tief genug. Sie nennt Datenblätter und drei Wettbewerber, aber keine systematische Abgrenzung. Für die BSFZ muss erkennbar werden, dass Riedblick nicht nur eine bekannte Sensorik in ein neues Gehäuse baut. Der Vortrag muss die bekannten Lösungswege aufnehmen und erklären, warum sie das konkrete Problem nicht lösen.</w:t>
      </w:r>
    </w:p>
    <w:p>
      <w:pPr>
        <w:pStyle w:val="Heading2"/>
      </w:pPr>
      <w:r>
        <w:rPr>
          <w:rFonts w:ascii="Times New Roman" w:hAnsi="Times New Roman"/>
        </w:rPr>
        <w:t>Bekannte Lösungswege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Lösungsweg</w:t>
            </w:r>
          </w:p>
        </w:tc>
        <w:tc>
          <w:tcPr>
            <w:tcW w:type="dxa" w:w="3024"/>
          </w:tcPr>
          <w:p>
            <w:r>
              <w:rPr>
                <w:rFonts w:ascii="Times New Roman" w:hAnsi="Times New Roman"/>
                <w:b/>
                <w:sz w:val="20"/>
              </w:rPr>
              <w:t>Was daran bekannt ist</w:t>
            </w:r>
          </w:p>
        </w:tc>
        <w:tc>
          <w:tcPr>
            <w:tcW w:type="dxa" w:w="3024"/>
          </w:tcPr>
          <w:p>
            <w:r>
              <w:rPr>
                <w:rFonts w:ascii="Times New Roman" w:hAnsi="Times New Roman"/>
                <w:b/>
                <w:sz w:val="20"/>
              </w:rPr>
              <w:t>Warum das Vorhaben darüber hinausgehen soll</w:t>
            </w:r>
          </w:p>
        </w:tc>
      </w:tr>
      <w:tr>
        <w:tc>
          <w:tcPr>
            <w:tcW w:type="dxa" w:w="3024"/>
          </w:tcPr>
          <w:p>
            <w:r>
              <w:rPr>
                <w:rFonts w:ascii="Times New Roman" w:hAnsi="Times New Roman"/>
                <w:sz w:val="20"/>
              </w:rPr>
              <w:t>Regelmäßige manuelle Rekalibrierung</w:t>
            </w:r>
          </w:p>
        </w:tc>
        <w:tc>
          <w:tcPr>
            <w:tcW w:type="dxa" w:w="3024"/>
          </w:tcPr>
          <w:p>
            <w:r>
              <w:rPr>
                <w:rFonts w:ascii="Times New Roman" w:hAnsi="Times New Roman"/>
                <w:sz w:val="20"/>
              </w:rPr>
              <w:t>Standard im Feldservice</w:t>
            </w:r>
          </w:p>
        </w:tc>
        <w:tc>
          <w:tcPr>
            <w:tcW w:type="dxa" w:w="3024"/>
          </w:tcPr>
          <w:p>
            <w:r>
              <w:rPr>
                <w:rFonts w:ascii="Times New Roman" w:hAnsi="Times New Roman"/>
                <w:sz w:val="20"/>
              </w:rPr>
              <w:t>vermeidet Drift nicht während des Betriebs</w:t>
            </w:r>
          </w:p>
        </w:tc>
      </w:tr>
      <w:tr>
        <w:tc>
          <w:tcPr>
            <w:tcW w:type="dxa" w:w="3024"/>
          </w:tcPr>
          <w:p>
            <w:r>
              <w:rPr>
                <w:rFonts w:ascii="Times New Roman" w:hAnsi="Times New Roman"/>
                <w:sz w:val="20"/>
              </w:rPr>
              <w:t>Cloudbasierte Auswertung</w:t>
            </w:r>
          </w:p>
        </w:tc>
        <w:tc>
          <w:tcPr>
            <w:tcW w:type="dxa" w:w="3024"/>
          </w:tcPr>
          <w:p>
            <w:r>
              <w:rPr>
                <w:rFonts w:ascii="Times New Roman" w:hAnsi="Times New Roman"/>
                <w:sz w:val="20"/>
              </w:rPr>
              <w:t>bekannt für größere Anlagen</w:t>
            </w:r>
          </w:p>
        </w:tc>
        <w:tc>
          <w:tcPr>
            <w:tcW w:type="dxa" w:w="3024"/>
          </w:tcPr>
          <w:p>
            <w:r>
              <w:rPr>
                <w:rFonts w:ascii="Times New Roman" w:hAnsi="Times New Roman"/>
                <w:sz w:val="20"/>
              </w:rPr>
              <w:t>Latenz, Datenverfügbarkeit und Datenschutz in Pilotanlagen problematisch</w:t>
            </w:r>
          </w:p>
        </w:tc>
      </w:tr>
      <w:tr>
        <w:tc>
          <w:tcPr>
            <w:tcW w:type="dxa" w:w="3024"/>
          </w:tcPr>
          <w:p>
            <w:r>
              <w:rPr>
                <w:rFonts w:ascii="Times New Roman" w:hAnsi="Times New Roman"/>
                <w:sz w:val="20"/>
              </w:rPr>
              <w:t>Gleitende Mittelwerte / Filter</w:t>
            </w:r>
          </w:p>
        </w:tc>
        <w:tc>
          <w:tcPr>
            <w:tcW w:type="dxa" w:w="3024"/>
          </w:tcPr>
          <w:p>
            <w:r>
              <w:rPr>
                <w:rFonts w:ascii="Times New Roman" w:hAnsi="Times New Roman"/>
                <w:sz w:val="20"/>
              </w:rPr>
              <w:t>Standard in Messsoftware</w:t>
            </w:r>
          </w:p>
        </w:tc>
        <w:tc>
          <w:tcPr>
            <w:tcW w:type="dxa" w:w="3024"/>
          </w:tcPr>
          <w:p>
            <w:r>
              <w:rPr>
                <w:rFonts w:ascii="Times New Roman" w:hAnsi="Times New Roman"/>
                <w:sz w:val="20"/>
              </w:rPr>
              <w:t>glätten Fehler, erkennen aber Kondensatfilm nicht sicher</w:t>
            </w:r>
          </w:p>
        </w:tc>
      </w:tr>
      <w:tr>
        <w:tc>
          <w:tcPr>
            <w:tcW w:type="dxa" w:w="3024"/>
          </w:tcPr>
          <w:p>
            <w:r>
              <w:rPr>
                <w:rFonts w:ascii="Times New Roman" w:hAnsi="Times New Roman"/>
                <w:sz w:val="20"/>
              </w:rPr>
              <w:t>Referenzsensoren</w:t>
            </w:r>
          </w:p>
        </w:tc>
        <w:tc>
          <w:tcPr>
            <w:tcW w:type="dxa" w:w="3024"/>
          </w:tcPr>
          <w:p>
            <w:r>
              <w:rPr>
                <w:rFonts w:ascii="Times New Roman" w:hAnsi="Times New Roman"/>
                <w:sz w:val="20"/>
              </w:rPr>
              <w:t>verfügbar, aber teuer</w:t>
            </w:r>
          </w:p>
        </w:tc>
        <w:tc>
          <w:tcPr>
            <w:tcW w:type="dxa" w:w="3024"/>
          </w:tcPr>
          <w:p>
            <w:r>
              <w:rPr>
                <w:rFonts w:ascii="Times New Roman" w:hAnsi="Times New Roman"/>
                <w:sz w:val="20"/>
              </w:rPr>
              <w:t>lösen nicht die Frage der Übertragbarkeit auf einfache Sensorik</w:t>
            </w:r>
          </w:p>
        </w:tc>
      </w:tr>
      <w:tr>
        <w:tc>
          <w:tcPr>
            <w:tcW w:type="dxa" w:w="3024"/>
          </w:tcPr>
          <w:p>
            <w:r>
              <w:rPr>
                <w:rFonts w:ascii="Times New Roman" w:hAnsi="Times New Roman"/>
                <w:sz w:val="20"/>
              </w:rPr>
              <w:t>Hygroskopische Schutzschichten</w:t>
            </w:r>
          </w:p>
        </w:tc>
        <w:tc>
          <w:tcPr>
            <w:tcW w:type="dxa" w:w="3024"/>
          </w:tcPr>
          <w:p>
            <w:r>
              <w:rPr>
                <w:rFonts w:ascii="Times New Roman" w:hAnsi="Times New Roman"/>
                <w:sz w:val="20"/>
              </w:rPr>
              <w:t>Materialansatz</w:t>
            </w:r>
          </w:p>
        </w:tc>
        <w:tc>
          <w:tcPr>
            <w:tcW w:type="dxa" w:w="3024"/>
          </w:tcPr>
          <w:p>
            <w:r>
              <w:rPr>
                <w:rFonts w:ascii="Times New Roman" w:hAnsi="Times New Roman"/>
                <w:sz w:val="20"/>
              </w:rPr>
              <w:t>verändert Ansprechzeit, hilft nicht bei Vibrationseinfluss</w:t>
            </w:r>
          </w:p>
        </w:tc>
      </w:tr>
    </w:tbl>
    <w:p>
      <w:pPr>
        <w:pStyle w:val="Heading2"/>
      </w:pPr>
      <w:r>
        <w:rPr>
          <w:rFonts w:ascii="Times New Roman" w:hAnsi="Times New Roman"/>
        </w:rPr>
        <w:t>Formulierung für den Antrag</w:t>
      </w:r>
    </w:p>
    <w:p>
      <w:pPr>
        <w:jc w:val="left"/>
      </w:pPr>
      <w:r>
        <w:t>Die Abgrenzung sollte nicht behaupten, dass niemand Driftkompensation kennt. Das wäre angreifbar. Tragfähiger ist: Die Kombination aus kompakter Edge-Hardware, Umgebungserkennung, begrenzter Modellgröße und Übertragbarkeit zwischen Anlagenklassen ist im konkreten Anwendungskorridor technisch unsicher. Diese Unsicherheit wird nicht durch bloße Ingenieursroutine beseitigt, sondern durch Versuchsreihen mit Abbruch- und Erfolgskriterien.</w:t>
      </w:r>
    </w:p>
    <w:p>
      <w:pPr>
        <w:pStyle w:val="Heading2"/>
      </w:pPr>
      <w:r>
        <w:rPr>
          <w:rFonts w:ascii="Times New Roman" w:hAnsi="Times New Roman"/>
        </w:rPr>
        <w:t>Offene Rechercheaufgabe</w:t>
      </w:r>
    </w:p>
    <w:p>
      <w:pPr>
        <w:jc w:val="left"/>
      </w:pPr>
      <w:r>
        <w:t>Der Patentrecherche-Auszug ist nur ein Ausschnitt. Vor Einreichung sollten Datenbanken und Wettbewerberseiten erneut gesichtet werden. Im Antrag genügt eine kurze, präzise Abgrenzung; in der internen Akte sollte die Recherche breiter dokumentiert werden.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