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Technische Unsicherheit und Versuchsplan</w:t>
      </w:r>
    </w:p>
    <w:p>
      <w:pPr>
        <w:pStyle w:val="Heading2"/>
      </w:pPr>
      <w:r>
        <w:rPr>
          <w:rFonts w:ascii="Times New Roman" w:hAnsi="Times New Roman"/>
        </w:rPr>
        <w:t>Unsicherheitscluster</w:t>
      </w:r>
    </w:p>
    <w:p>
      <w:pPr>
        <w:pStyle w:val="ListNumber"/>
      </w:pPr>
      <w:r>
        <w:t>Kondensatdrift: Wie verändert ein dünner Wasserfilm das Sensormuster bei Temperaturwechsel?</w:t>
      </w:r>
    </w:p>
    <w:p>
      <w:pPr>
        <w:pStyle w:val="ListNumber"/>
      </w:pPr>
      <w:r>
        <w:t>Vibrationsartefakte: Lassen sich Bewegungsstörungen von echter Prozessänderung trennen?</w:t>
      </w:r>
    </w:p>
    <w:p>
      <w:pPr>
        <w:pStyle w:val="ListNumber"/>
      </w:pPr>
      <w:r>
        <w:t>Modellgröße: Kann ein lokales Modell mit begrenztem Speicher und Energieverbrauch stabil laufen?</w:t>
      </w:r>
    </w:p>
    <w:p>
      <w:pPr>
        <w:pStyle w:val="ListNumber"/>
      </w:pPr>
      <w:r>
        <w:t>Transfer: Funktioniert ein trainiertes Muster in drei Anlagenklassen oder nur in einem Laboraufbau?</w:t>
      </w:r>
    </w:p>
    <w:p>
      <w:pPr>
        <w:pStyle w:val="ListNumber"/>
      </w:pPr>
      <w:r>
        <w:t>Ausfallkriterium: Wann ist eine Warnung zu spät, zu früh oder falsch positiv?</w:t>
      </w:r>
    </w:p>
    <w:p>
      <w:pPr>
        <w:pStyle w:val="Heading2"/>
      </w:pPr>
      <w:r>
        <w:rPr>
          <w:rFonts w:ascii="Times New Roman" w:hAnsi="Times New Roman"/>
        </w:rPr>
        <w:t>Versuchsdesign</w:t>
      </w:r>
    </w:p>
    <w:p>
      <w:pPr>
        <w:jc w:val="left"/>
      </w:pPr>
      <w:r>
        <w:t>AP2 und AP3 enthalten die förderstärksten Arbeiten. Das Laborjournal beschreibt nicht nur Erfolg, sondern auch Fehlschläge. Besonders wichtig: Am 12.02.2025 wurde die Modellvariante "Condensate-Delta v2" verworfen, weil sie bei schnellen Temperaturwechseln falsch-positive Wartungsalarme auslöste. Diese negativen Ergebnisse sind förderrechtlich wertvoll, wenn sie systematisch dokumentiert werden.</w:t>
      </w:r>
    </w:p>
    <w:p>
      <w:pPr>
        <w:pStyle w:val="Heading2"/>
      </w:pPr>
      <w:r>
        <w:rPr>
          <w:rFonts w:ascii="Times New Roman" w:hAnsi="Times New Roman"/>
        </w:rPr>
        <w:t>Erfolgskriterien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Zielwert</w:t>
            </w:r>
          </w:p>
        </w:tc>
        <w:tc>
          <w:tcPr>
            <w:tcW w:type="dxa" w:w="2268"/>
          </w:tcPr>
          <w:p>
            <w:r>
              <w:rPr>
                <w:rFonts w:ascii="Times New Roman" w:hAnsi="Times New Roman"/>
                <w:b/>
                <w:sz w:val="20"/>
              </w:rPr>
              <w:t>Stand laut Akte</w:t>
            </w:r>
          </w:p>
        </w:tc>
        <w:tc>
          <w:tcPr>
            <w:tcW w:type="dxa" w:w="2268"/>
          </w:tcPr>
          <w:p>
            <w:r>
              <w:rPr>
                <w:rFonts w:ascii="Times New Roman" w:hAnsi="Times New Roman"/>
                <w:b/>
                <w:sz w:val="20"/>
              </w:rPr>
              <w:t>Risiko</w:t>
            </w:r>
          </w:p>
        </w:tc>
      </w:tr>
      <w:tr>
        <w:tc>
          <w:tcPr>
            <w:tcW w:type="dxa" w:w="2268"/>
          </w:tcPr>
          <w:p>
            <w:r>
              <w:rPr>
                <w:rFonts w:ascii="Times New Roman" w:hAnsi="Times New Roman"/>
                <w:sz w:val="20"/>
              </w:rPr>
              <w:t>Drift-Erkennung unter 90 Prozent Feuchte</w:t>
            </w:r>
          </w:p>
        </w:tc>
        <w:tc>
          <w:tcPr>
            <w:tcW w:type="dxa" w:w="2268"/>
          </w:tcPr>
          <w:p>
            <w:r>
              <w:rPr>
                <w:rFonts w:ascii="Times New Roman" w:hAnsi="Times New Roman"/>
                <w:sz w:val="20"/>
              </w:rPr>
              <w:t>mindestens 85 Prozent Sensitivität</w:t>
            </w:r>
          </w:p>
        </w:tc>
        <w:tc>
          <w:tcPr>
            <w:tcW w:type="dxa" w:w="2268"/>
          </w:tcPr>
          <w:p>
            <w:r>
              <w:rPr>
                <w:rFonts w:ascii="Times New Roman" w:hAnsi="Times New Roman"/>
                <w:sz w:val="20"/>
              </w:rPr>
              <w:t>Labor: 78 bis 86 Prozent</w:t>
            </w:r>
          </w:p>
        </w:tc>
        <w:tc>
          <w:tcPr>
            <w:tcW w:type="dxa" w:w="2268"/>
          </w:tcPr>
          <w:p>
            <w:r>
              <w:rPr>
                <w:rFonts w:ascii="Times New Roman" w:hAnsi="Times New Roman"/>
                <w:sz w:val="20"/>
              </w:rPr>
              <w:t>Messreihen heterogen</w:t>
            </w:r>
          </w:p>
        </w:tc>
      </w:tr>
      <w:tr>
        <w:tc>
          <w:tcPr>
            <w:tcW w:type="dxa" w:w="2268"/>
          </w:tcPr>
          <w:p>
            <w:r>
              <w:rPr>
                <w:rFonts w:ascii="Times New Roman" w:hAnsi="Times New Roman"/>
                <w:sz w:val="20"/>
              </w:rPr>
              <w:t>Falsch-positive Wartungsalarme</w:t>
            </w:r>
          </w:p>
        </w:tc>
        <w:tc>
          <w:tcPr>
            <w:tcW w:type="dxa" w:w="2268"/>
          </w:tcPr>
          <w:p>
            <w:r>
              <w:rPr>
                <w:rFonts w:ascii="Times New Roman" w:hAnsi="Times New Roman"/>
                <w:sz w:val="20"/>
              </w:rPr>
              <w:t>unter 8 Prozent</w:t>
            </w:r>
          </w:p>
        </w:tc>
        <w:tc>
          <w:tcPr>
            <w:tcW w:type="dxa" w:w="2268"/>
          </w:tcPr>
          <w:p>
            <w:r>
              <w:rPr>
                <w:rFonts w:ascii="Times New Roman" w:hAnsi="Times New Roman"/>
                <w:sz w:val="20"/>
              </w:rPr>
              <w:t>Pilot: 11 Prozent</w:t>
            </w:r>
          </w:p>
        </w:tc>
        <w:tc>
          <w:tcPr>
            <w:tcW w:type="dxa" w:w="2268"/>
          </w:tcPr>
          <w:p>
            <w:r>
              <w:rPr>
                <w:rFonts w:ascii="Times New Roman" w:hAnsi="Times New Roman"/>
                <w:sz w:val="20"/>
              </w:rPr>
              <w:t>noch nicht stabil</w:t>
            </w:r>
          </w:p>
        </w:tc>
      </w:tr>
      <w:tr>
        <w:tc>
          <w:tcPr>
            <w:tcW w:type="dxa" w:w="2268"/>
          </w:tcPr>
          <w:p>
            <w:r>
              <w:rPr>
                <w:rFonts w:ascii="Times New Roman" w:hAnsi="Times New Roman"/>
                <w:sz w:val="20"/>
              </w:rPr>
              <w:t>Edge-Latenz</w:t>
            </w:r>
          </w:p>
        </w:tc>
        <w:tc>
          <w:tcPr>
            <w:tcW w:type="dxa" w:w="2268"/>
          </w:tcPr>
          <w:p>
            <w:r>
              <w:rPr>
                <w:rFonts w:ascii="Times New Roman" w:hAnsi="Times New Roman"/>
                <w:sz w:val="20"/>
              </w:rPr>
              <w:t>unter 250 ms</w:t>
            </w:r>
          </w:p>
        </w:tc>
        <w:tc>
          <w:tcPr>
            <w:tcW w:type="dxa" w:w="2268"/>
          </w:tcPr>
          <w:p>
            <w:r>
              <w:rPr>
                <w:rFonts w:ascii="Times New Roman" w:hAnsi="Times New Roman"/>
                <w:sz w:val="20"/>
              </w:rPr>
              <w:t>210 bis 320 ms</w:t>
            </w:r>
          </w:p>
        </w:tc>
        <w:tc>
          <w:tcPr>
            <w:tcW w:type="dxa" w:w="2268"/>
          </w:tcPr>
          <w:p>
            <w:r>
              <w:rPr>
                <w:rFonts w:ascii="Times New Roman" w:hAnsi="Times New Roman"/>
                <w:sz w:val="20"/>
              </w:rPr>
              <w:t>Hardwaregrenze</w:t>
            </w:r>
          </w:p>
        </w:tc>
      </w:tr>
      <w:tr>
        <w:tc>
          <w:tcPr>
            <w:tcW w:type="dxa" w:w="2268"/>
          </w:tcPr>
          <w:p>
            <w:r>
              <w:rPr>
                <w:rFonts w:ascii="Times New Roman" w:hAnsi="Times New Roman"/>
                <w:sz w:val="20"/>
              </w:rPr>
              <w:t>Transfer auf Anlage B</w:t>
            </w:r>
          </w:p>
        </w:tc>
        <w:tc>
          <w:tcPr>
            <w:tcW w:type="dxa" w:w="2268"/>
          </w:tcPr>
          <w:p>
            <w:r>
              <w:rPr>
                <w:rFonts w:ascii="Times New Roman" w:hAnsi="Times New Roman"/>
                <w:sz w:val="20"/>
              </w:rPr>
              <w:t>ohne Vollkalibrierung</w:t>
            </w:r>
          </w:p>
        </w:tc>
        <w:tc>
          <w:tcPr>
            <w:tcW w:type="dxa" w:w="2268"/>
          </w:tcPr>
          <w:p>
            <w:r>
              <w:rPr>
                <w:rFonts w:ascii="Times New Roman" w:hAnsi="Times New Roman"/>
                <w:sz w:val="20"/>
              </w:rPr>
              <w:t>nur teilweise</w:t>
            </w:r>
          </w:p>
        </w:tc>
        <w:tc>
          <w:tcPr>
            <w:tcW w:type="dxa" w:w="2268"/>
          </w:tcPr>
          <w:p>
            <w:r>
              <w:rPr>
                <w:rFonts w:ascii="Times New Roman" w:hAnsi="Times New Roman"/>
                <w:sz w:val="20"/>
              </w:rPr>
              <w:t>Gegenargument Routineanpassung</w:t>
            </w:r>
          </w:p>
        </w:tc>
      </w:tr>
    </w:tbl>
    <w:p>
      <w:pPr>
        <w:pStyle w:val="Heading2"/>
      </w:pPr>
      <w:r>
        <w:rPr>
          <w:rFonts w:ascii="Times New Roman" w:hAnsi="Times New Roman"/>
        </w:rPr>
        <w:t>Juristische Lesart</w:t>
      </w:r>
    </w:p>
    <w:p>
      <w:pPr>
        <w:jc w:val="left"/>
      </w:pPr>
      <w:r>
        <w:t>Für die Forschungszulage muss aus der Akte hervorgehen, dass die Entwicklung auf neue Erkenntnisse oder wesentlich verbesserte technische Fähigkeiten zielt. Das wirtschaftliche Ziel ist nur der Anlass. Tragend sind technische Ziele, technische Unsicherheiten, systematisches Vorgehen und reproduzierbare Dokumentation.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