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Arbeitspakete AP1 bis AP7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AP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Zeitraum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Förderbewertung vorläufig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AP1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04/2024-07/2024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Anforderungskorridor, Auswahl Pilotanlagen, Stand der Technik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teilweise förderfähig, soweit Recherche und technische Hypothesenbildung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AP2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06/2024-03/2025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Laboraufbau Kondensat/Vibration, Messreihen, Fehlerbilder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stark förderfähig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AP3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01/2025-11/2025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Edge-Modell, Driftklassifikation, Modellreduktion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stark förderfähig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AP4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05/2025-02/2026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Pilotanlage Verpackungslinie, Robustheitsprüfung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überwiegend förderfähig, Abgrenzung zu Feldservice nötig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AP5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09/2025-06/2026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Transfer auf zweite Anlagenklasse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förderfähig, wenn echte Unsicherheit gezeigt wird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AP6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02/2026-09/2026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Produktisierung, Dashboard, Handbuch, Vertriebspilot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überwiegend nicht förderfähig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AP7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 01/2026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neues Modul Selbstdiagnose Referenzsensor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gesondertes Teilvorhaben prüfen, Stichtag Gemeinkostenpauschale relevant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Kritische Trennlinie</w:t>
      </w:r>
    </w:p>
    <w:p>
      <w:pPr>
        <w:jc w:val="left"/>
      </w:pPr>
      <w:r>
        <w:t>AP6 wird in internen Mails zu oft als Forschung bezeichnet. Das ist gefährlich. Die Akte sollte sauber sagen: Produktisierung, UI, Vertriebsvorbereitung, Serienfreigabe und Standard-QA sind nicht schon deshalb Forschung, weil sie an einem forschungsnahen Produkt hängen. Förderfähig bleibt nur der Anteil, der tatsächlich technische Unsicherheit bearbeitet.</w:t>
      </w:r>
    </w:p>
    <w:p>
      <w:pPr>
        <w:pStyle w:val="Heading2"/>
      </w:pPr>
      <w:r>
        <w:rPr>
          <w:rFonts w:ascii="Times New Roman" w:hAnsi="Times New Roman"/>
        </w:rPr>
        <w:t>Praktische Aktenmaßnahme</w:t>
      </w:r>
    </w:p>
    <w:p>
      <w:pPr>
        <w:jc w:val="left"/>
      </w:pPr>
      <w:r>
        <w:t>Für jede Person wird eine Dreiteilung empfohlen: FuE-Stunde, produktnahe Nicht-FuE-Stunde, allgemeine Unternehmens-/Managementstunde. Die Excel-Matrix hat dafür bereits Spalten, ist aber noch nicht konsequent gefüllt.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