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Stellungnahme BSFZ Antwortgerüst</w:t>
      </w:r>
    </w:p>
    <w:p>
      <w:pPr>
        <w:pStyle w:val="Heading2"/>
      </w:pPr>
      <w:r>
        <w:rPr>
          <w:rFonts w:ascii="Times New Roman" w:hAnsi="Times New Roman"/>
        </w:rPr>
        <w:t>Leitgedanke</w:t>
      </w:r>
    </w:p>
    <w:p>
      <w:pPr>
        <w:jc w:val="left"/>
      </w:pPr>
      <w:r>
        <w:t>Die Antwort muss die Prüferin führen. Sie soll nicht bitten, sondern erklären: Ausgangsproblem, Stand der Technik, technische Unsicherheit, systematische Arbeit, Ergebnisse und Grenzen. Riedblick darf auch offen sagen, dass bestimmte Produktisierungsarbeiten nicht Gegenstand des Antrags sind.</w:t>
      </w:r>
    </w:p>
    <w:p>
      <w:pPr>
        <w:pStyle w:val="Heading2"/>
      </w:pPr>
      <w:r>
        <w:rPr>
          <w:rFonts w:ascii="Times New Roman" w:hAnsi="Times New Roman"/>
        </w:rPr>
        <w:t>Aufbauvorschlag</w:t>
      </w:r>
    </w:p>
    <w:p>
      <w:pPr>
        <w:pStyle w:val="ListNumber"/>
      </w:pPr>
      <w:r>
        <w:t>Bestätigung des Vorhabens und der Arbeitspakete.</w:t>
      </w:r>
    </w:p>
    <w:p>
      <w:pPr>
        <w:pStyle w:val="ListNumber"/>
      </w:pPr>
      <w:r>
        <w:t>Präzisierung des technischen Problems: Drift unter Kondensat und Vibration.</w:t>
      </w:r>
    </w:p>
    <w:p>
      <w:pPr>
        <w:pStyle w:val="ListNumber"/>
      </w:pPr>
      <w:r>
        <w:t>Abgrenzung bekannter Lösungswege.</w:t>
      </w:r>
    </w:p>
    <w:p>
      <w:pPr>
        <w:pStyle w:val="ListNumber"/>
      </w:pPr>
      <w:r>
        <w:t>Versuchsanordnung und negative Ergebnisse.</w:t>
      </w:r>
    </w:p>
    <w:p>
      <w:pPr>
        <w:pStyle w:val="ListNumber"/>
      </w:pPr>
      <w:r>
        <w:t>Trennung förderfähiger und nicht förderfähiger Tätigkeiten.</w:t>
      </w:r>
    </w:p>
    <w:p>
      <w:pPr>
        <w:pStyle w:val="ListNumber"/>
      </w:pPr>
      <w:r>
        <w:t>Auftragsforschung Lissabon: Rolle, Leistung, keine bloße Routineprüfung.</w:t>
      </w:r>
    </w:p>
    <w:p>
      <w:pPr>
        <w:pStyle w:val="ListNumber"/>
      </w:pPr>
      <w:r>
        <w:t>Stunden- und Kostenbelege: Aktualisierte Matrix, Projektjournal, Kostenstellen.</w:t>
      </w:r>
    </w:p>
    <w:p>
      <w:pPr>
        <w:pStyle w:val="Heading2"/>
      </w:pPr>
      <w:r>
        <w:rPr>
          <w:rFonts w:ascii="Times New Roman" w:hAnsi="Times New Roman"/>
        </w:rPr>
        <w:t>Satzbausteine mit Kontrollpunkt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Baustein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Nutzen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Kontrollpunkt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"Das Vorhaben untersucht nicht den Einsatz eines bekannten Filters, sondern die Erkennung des Zustands, in dem ein Filter überhaupt falsch wirkt."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macht technische Unsicherheit sichtbar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Beleg aus Laborjournal AP2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"Die Cloudauswertung wurde gerade nicht als tragfähige Standardlösung übernommen, weil Latenz und Datenverfügbarkeit im Pilotkorridor nicht gesichert waren."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grenzt Stand der Technik ab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 aus Pilotlinie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"Nicht beantragt werden UI-Design, Vertriebsunterlagen und Serienfreigabe."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schafft Glaubwürdigkeit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Stundenmatrix AP6 korrigieren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Ton</w:t>
      </w:r>
    </w:p>
    <w:p>
      <w:pPr>
        <w:jc w:val="left"/>
      </w:pPr>
      <w:r>
        <w:t>Nüchtern, technisch, belegorientiert. Keine Superlative. Keine pauschalen Behauptungen, dass Wettbewerber nichts können. Keine Begriffe wie disruptiv, einzigartig, selbstlernend ohne Erklärung.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