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Bemessungsgrundlage Rechenvermerk</w:t>
      </w:r>
    </w:p>
    <w:p>
      <w:pPr>
        <w:pStyle w:val="Heading2"/>
      </w:pPr>
      <w:r>
        <w:rPr>
          <w:rFonts w:ascii="Times New Roman" w:hAnsi="Times New Roman"/>
        </w:rPr>
        <w:t>Ausgangswerte aus Controlling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Eigenes FuE-Personal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Auftragsforschung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AfA/Wirtschaftsgüter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Streitige Gemeinkosten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Vorläufige Bemessungsgrundlage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428.600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428.600 EUR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812.400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146.000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38.500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996.900 EUR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746.200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284.000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91.000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86.240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1.207.440 EUR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Rote Linien</w:t>
      </w:r>
    </w:p>
    <w:p>
      <w:pPr>
        <w:pStyle w:val="ListBullet"/>
      </w:pPr>
      <w:r>
        <w:t>Auftragsforschung ist seit der gesetzlichen Umstellung nicht pauschal immer gleich zu behandeln. Stichtag und Vertragsbeginn müssen geprüft werden.</w:t>
      </w:r>
    </w:p>
    <w:p>
      <w:pPr>
        <w:pStyle w:val="ListBullet"/>
      </w:pPr>
      <w:r>
        <w:t>Unteraufträge des Auftragnehmers können die Förderfähigkeit beim Auftraggeber gefährden oder zumindest Aufklärung verlangen.</w:t>
      </w:r>
    </w:p>
    <w:p>
      <w:pPr>
        <w:pStyle w:val="ListBullet"/>
      </w:pPr>
      <w:r>
        <w:t>Die 20-Prozent-Pauschale für Gemein- und Betriebskosten setzt ein nach dem 31.12.2025 begonnenes Vorhaben voraus. Wenn AP7 nur Modul eines seit 2024 laufenden Vorhabens ist, ist die Pauschale angreifbar.</w:t>
      </w:r>
    </w:p>
    <w:p>
      <w:pPr>
        <w:pStyle w:val="ListBullet"/>
      </w:pPr>
      <w:r>
        <w:t>Die erhöhte KMU-Quote muss am aktuellen KMU-Begriff und an verbundenen Unternehmen geprüft werden.</w:t>
      </w:r>
    </w:p>
    <w:p>
      <w:pPr>
        <w:pStyle w:val="ListBullet"/>
      </w:pPr>
      <w:r>
        <w:t>Bemessungsgrundlagenhöchstbeträge und Verbundgrenzen gehören in den Live-Check, nicht in die Erinnerung.</w:t>
      </w:r>
    </w:p>
    <w:p>
      <w:pPr>
        <w:pStyle w:val="Heading2"/>
      </w:pPr>
      <w:r>
        <w:rPr>
          <w:rFonts w:ascii="Times New Roman" w:hAnsi="Times New Roman"/>
        </w:rPr>
        <w:t>Arbeitsstand</w:t>
      </w:r>
    </w:p>
    <w:p>
      <w:pPr>
        <w:jc w:val="left"/>
      </w:pPr>
      <w:r>
        <w:t>Die Tabelle ist eine Arbeitsrechnung, keine endgültige Antragssumme. Der nächste Schritt ist eine Bereinigungsmatrix mit den Kategorien "beantragen", "streichen", "belegen", "unsicher".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