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Personalkosten und Lohnarten</w:t>
      </w:r>
    </w:p>
    <w:p>
      <w:pPr>
        <w:pStyle w:val="Heading2"/>
      </w:pPr>
      <w:r>
        <w:rPr>
          <w:rFonts w:ascii="Times New Roman" w:hAnsi="Times New Roman"/>
        </w:rPr>
        <w:t>Lohnbestandteile</w:t>
      </w:r>
    </w:p>
    <w:p>
      <w:pPr>
        <w:jc w:val="left"/>
      </w:pPr>
      <w:r>
        <w:t>Die Personalkostenliste enthält Bruttoarbeitslohn, Arbeitgeberanteile zur Sozialversicherung, Bonusanteile und eine unklare Erfolgsprämie. Für die Forschungszulage muss die Kostenbasis sauber aus den Lohnkonten abgeleitet werden. Variable Vergütung ist nicht automatisch ausgeschlossen, aber die Zuordnung zu FuE-Tätigkeiten muss plausibel bleiben.</w:t>
      </w:r>
    </w:p>
    <w:p>
      <w:pPr>
        <w:pStyle w:val="Heading2"/>
      </w:pPr>
      <w:r>
        <w:rPr>
          <w:rFonts w:ascii="Times New Roman" w:hAnsi="Times New Roman"/>
        </w:rPr>
        <w:t>Problemfälle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Person</w:t>
            </w:r>
          </w:p>
        </w:tc>
        <w:tc>
          <w:tcPr>
            <w:tcW w:type="dxa" w:w="3024"/>
          </w:tcPr>
          <w:p>
            <w:r>
              <w:rPr>
                <w:rFonts w:ascii="Times New Roman" w:hAnsi="Times New Roman"/>
                <w:b/>
                <w:sz w:val="20"/>
              </w:rPr>
              <w:t>Problem</w:t>
            </w:r>
          </w:p>
        </w:tc>
        <w:tc>
          <w:tcPr>
            <w:tcW w:type="dxa" w:w="3024"/>
          </w:tcPr>
          <w:p>
            <w:r>
              <w:rPr>
                <w:rFonts w:ascii="Times New Roman" w:hAnsi="Times New Roman"/>
                <w:b/>
                <w:sz w:val="20"/>
              </w:rPr>
              <w:t>Vorläufige Bewertung</w:t>
            </w:r>
          </w:p>
        </w:tc>
      </w:tr>
      <w:tr>
        <w:tc>
          <w:tcPr>
            <w:tcW w:type="dxa" w:w="3024"/>
          </w:tcPr>
          <w:p>
            <w:r>
              <w:rPr>
                <w:rFonts w:ascii="Times New Roman" w:hAnsi="Times New Roman"/>
                <w:sz w:val="20"/>
              </w:rPr>
              <w:t>Jens Falkenstein</w:t>
            </w:r>
          </w:p>
        </w:tc>
        <w:tc>
          <w:tcPr>
            <w:tcW w:type="dxa" w:w="3024"/>
          </w:tcPr>
          <w:p>
            <w:r>
              <w:rPr>
                <w:rFonts w:ascii="Times New Roman" w:hAnsi="Times New Roman"/>
                <w:sz w:val="20"/>
              </w:rPr>
              <w:t>Bonus 2025 "Launch Readiness"</w:t>
            </w:r>
          </w:p>
        </w:tc>
        <w:tc>
          <w:tcPr>
            <w:tcW w:type="dxa" w:w="3024"/>
          </w:tcPr>
          <w:p>
            <w:r>
              <w:rPr>
                <w:rFonts w:ascii="Times New Roman" w:hAnsi="Times New Roman"/>
                <w:sz w:val="20"/>
              </w:rPr>
              <w:t>eher nicht FuE-bezogen</w:t>
            </w:r>
          </w:p>
        </w:tc>
      </w:tr>
      <w:tr>
        <w:tc>
          <w:tcPr>
            <w:tcW w:type="dxa" w:w="3024"/>
          </w:tcPr>
          <w:p>
            <w:r>
              <w:rPr>
                <w:rFonts w:ascii="Times New Roman" w:hAnsi="Times New Roman"/>
                <w:sz w:val="20"/>
              </w:rPr>
              <w:t>Oskar Hein</w:t>
            </w:r>
          </w:p>
        </w:tc>
        <w:tc>
          <w:tcPr>
            <w:tcW w:type="dxa" w:w="3024"/>
          </w:tcPr>
          <w:p>
            <w:r>
              <w:rPr>
                <w:rFonts w:ascii="Times New Roman" w:hAnsi="Times New Roman"/>
                <w:sz w:val="20"/>
              </w:rPr>
              <w:t>klassische Entwicklungstätigkeit</w:t>
            </w:r>
          </w:p>
        </w:tc>
        <w:tc>
          <w:tcPr>
            <w:tcW w:type="dxa" w:w="3024"/>
          </w:tcPr>
          <w:p>
            <w:r>
              <w:rPr>
                <w:rFonts w:ascii="Times New Roman" w:hAnsi="Times New Roman"/>
                <w:sz w:val="20"/>
              </w:rPr>
              <w:t>gut, wenn Stunden belegt</w:t>
            </w:r>
          </w:p>
        </w:tc>
      </w:tr>
      <w:tr>
        <w:tc>
          <w:tcPr>
            <w:tcW w:type="dxa" w:w="3024"/>
          </w:tcPr>
          <w:p>
            <w:r>
              <w:rPr>
                <w:rFonts w:ascii="Times New Roman" w:hAnsi="Times New Roman"/>
                <w:sz w:val="20"/>
              </w:rPr>
              <w:t>Amelie Rohr</w:t>
            </w:r>
          </w:p>
        </w:tc>
        <w:tc>
          <w:tcPr>
            <w:tcW w:type="dxa" w:w="3024"/>
          </w:tcPr>
          <w:p>
            <w:r>
              <w:rPr>
                <w:rFonts w:ascii="Times New Roman" w:hAnsi="Times New Roman"/>
                <w:sz w:val="20"/>
              </w:rPr>
              <w:t>Werkstudentin Labor</w:t>
            </w:r>
          </w:p>
        </w:tc>
        <w:tc>
          <w:tcPr>
            <w:tcW w:type="dxa" w:w="3024"/>
          </w:tcPr>
          <w:p>
            <w:r>
              <w:rPr>
                <w:rFonts w:ascii="Times New Roman" w:hAnsi="Times New Roman"/>
                <w:sz w:val="20"/>
              </w:rPr>
              <w:t>prüfen, ob Lohnsteuerabzug und Tätigkeit passen</w:t>
            </w:r>
          </w:p>
        </w:tc>
      </w:tr>
      <w:tr>
        <w:tc>
          <w:tcPr>
            <w:tcW w:type="dxa" w:w="3024"/>
          </w:tcPr>
          <w:p>
            <w:r>
              <w:rPr>
                <w:rFonts w:ascii="Times New Roman" w:hAnsi="Times New Roman"/>
                <w:sz w:val="20"/>
              </w:rPr>
              <w:t>Leihingenieur Bernardt</w:t>
            </w:r>
          </w:p>
        </w:tc>
        <w:tc>
          <w:tcPr>
            <w:tcW w:type="dxa" w:w="3024"/>
          </w:tcPr>
          <w:p>
            <w:r>
              <w:rPr>
                <w:rFonts w:ascii="Times New Roman" w:hAnsi="Times New Roman"/>
                <w:sz w:val="20"/>
              </w:rPr>
              <w:t>über Agentur abgerechnet</w:t>
            </w:r>
          </w:p>
        </w:tc>
        <w:tc>
          <w:tcPr>
            <w:tcW w:type="dxa" w:w="3024"/>
          </w:tcPr>
          <w:p>
            <w:r>
              <w:rPr>
                <w:rFonts w:ascii="Times New Roman" w:hAnsi="Times New Roman"/>
                <w:sz w:val="20"/>
              </w:rPr>
              <w:t>möglicherweise Auftrags-/Dienstleistung, nicht Lohnaufwand</w:t>
            </w:r>
          </w:p>
        </w:tc>
      </w:tr>
      <w:tr>
        <w:tc>
          <w:tcPr>
            <w:tcW w:type="dxa" w:w="3024"/>
          </w:tcPr>
          <w:p>
            <w:r>
              <w:rPr>
                <w:rFonts w:ascii="Times New Roman" w:hAnsi="Times New Roman"/>
                <w:sz w:val="20"/>
              </w:rPr>
              <w:t>Geschäftsführerin Eichwald</w:t>
            </w:r>
          </w:p>
        </w:tc>
        <w:tc>
          <w:tcPr>
            <w:tcW w:type="dxa" w:w="3024"/>
          </w:tcPr>
          <w:p>
            <w:r>
              <w:rPr>
                <w:rFonts w:ascii="Times New Roman" w:hAnsi="Times New Roman"/>
                <w:sz w:val="20"/>
              </w:rPr>
              <w:t>keine Entwicklungsleistung</w:t>
            </w:r>
          </w:p>
        </w:tc>
        <w:tc>
          <w:tcPr>
            <w:tcW w:type="dxa" w:w="3024"/>
          </w:tcPr>
          <w:p>
            <w:r>
              <w:rPr>
                <w:rFonts w:ascii="Times New Roman" w:hAnsi="Times New Roman"/>
                <w:sz w:val="20"/>
              </w:rPr>
              <w:t>nicht ansetzen</w:t>
            </w:r>
          </w:p>
        </w:tc>
      </w:tr>
    </w:tbl>
    <w:p>
      <w:pPr>
        <w:pStyle w:val="Heading2"/>
      </w:pPr>
      <w:r>
        <w:rPr>
          <w:rFonts w:ascii="Times New Roman" w:hAnsi="Times New Roman"/>
        </w:rPr>
        <w:t>Dokumentationsbedarf</w:t>
      </w:r>
    </w:p>
    <w:p>
      <w:pPr>
        <w:pStyle w:val="ListBullet"/>
      </w:pPr>
      <w:r>
        <w:t>Lohnjournale 2024 bis 2026.</w:t>
      </w:r>
    </w:p>
    <w:p>
      <w:pPr>
        <w:pStyle w:val="ListBullet"/>
      </w:pPr>
      <w:r>
        <w:t>Tätigkeitsbeschreibungen je FuE-Person.</w:t>
      </w:r>
    </w:p>
    <w:p>
      <w:pPr>
        <w:pStyle w:val="ListBullet"/>
      </w:pPr>
      <w:r>
        <w:t>Projektzeitnachweise mit Arbeitspaketbezug.</w:t>
      </w:r>
    </w:p>
    <w:p>
      <w:pPr>
        <w:pStyle w:val="ListBullet"/>
      </w:pPr>
      <w:r>
        <w:t>Abgrenzung Urlaub, Krankheit, allgemeine Meetings.</w:t>
      </w:r>
    </w:p>
    <w:p>
      <w:pPr>
        <w:pStyle w:val="ListBullet"/>
      </w:pPr>
      <w:r>
        <w:t>Erklärung, warum einzelne Führungszeiten tatsächlich technischer FuE dienten.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